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1D6F5" w14:textId="72A9D9DD" w:rsidR="00856BE8" w:rsidRPr="001F0301" w:rsidRDefault="009311ED" w:rsidP="00856BE8">
      <w:pPr>
        <w:pStyle w:val="BasicParagraph"/>
        <w:spacing w:line="240" w:lineRule="auto"/>
        <w:jc w:val="center"/>
        <w:outlineLvl w:val="0"/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</w:pPr>
      <w:r w:rsidRPr="001F0301"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  <w:t>Análise da Produção Industrial</w:t>
      </w:r>
    </w:p>
    <w:p w14:paraId="60B0702F" w14:textId="5FBBD45A" w:rsidR="00856BE8" w:rsidRPr="001F0301" w:rsidRDefault="004A0390" w:rsidP="00856BE8">
      <w:pPr>
        <w:pStyle w:val="BasicParagraph"/>
        <w:spacing w:line="240" w:lineRule="auto"/>
        <w:jc w:val="center"/>
        <w:outlineLvl w:val="0"/>
        <w:rPr>
          <w:rFonts w:ascii="Myriad Pro" w:hAnsi="Myriad Pro" w:cs="ArialNarrow-Bold"/>
          <w:b/>
          <w:bCs/>
          <w:color w:val="1C6360"/>
          <w:sz w:val="34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MARÇO</w:t>
      </w:r>
      <w:r w:rsidR="00856BE8" w:rsidRPr="001F0301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/201</w:t>
      </w:r>
      <w:r w:rsidR="0065307D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9</w:t>
      </w:r>
    </w:p>
    <w:p w14:paraId="6BCCAC97" w14:textId="0B09C5F7" w:rsidR="00856BE8" w:rsidRPr="001F0301" w:rsidRDefault="00B458D7" w:rsidP="00856BE8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  <w:r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FFF6D3" wp14:editId="52ECE692">
                <wp:simplePos x="0" y="0"/>
                <wp:positionH relativeFrom="column">
                  <wp:posOffset>-247650</wp:posOffset>
                </wp:positionH>
                <wp:positionV relativeFrom="paragraph">
                  <wp:posOffset>187324</wp:posOffset>
                </wp:positionV>
                <wp:extent cx="6124575" cy="6315075"/>
                <wp:effectExtent l="0" t="0" r="28575" b="28575"/>
                <wp:wrapNone/>
                <wp:docPr id="23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315075"/>
                        </a:xfrm>
                        <a:prstGeom prst="round2DiagRect">
                          <a:avLst>
                            <a:gd name="adj1" fmla="val 1421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9BBFB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D560" w14:textId="77B4E0E3" w:rsidR="00D234F9" w:rsidRDefault="00D234F9" w:rsidP="00856BE8">
                            <w:pPr>
                              <w:jc w:val="center"/>
                            </w:pPr>
                            <w:r>
                              <w:rPr>
                                <w:rStyle w:val="nfase"/>
                                <w:rFonts w:asciiTheme="majorHAnsi" w:hAnsiTheme="majorHAnsi"/>
                                <w:b/>
                                <w:i w:val="0"/>
                                <w:color w:val="595959" w:themeColor="text1" w:themeTint="A6"/>
                                <w:sz w:val="28"/>
                                <w:szCs w:val="28"/>
                              </w:rPr>
                              <w:t>000000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F6D3" id="Round Diagonal Corner Rectangle 11" o:spid="_x0000_s1026" style="position:absolute;left:0;text-align:left;margin-left:-19.5pt;margin-top:14.75pt;width:482.25pt;height:49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24575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" adj="-11796480,,5400" path="m870302,l6124575,r,l6124575,5444773v,480655,-389647,870302,-870302,870302l,6315075r,l,870302c,389647,389647,,870302,xe" strokecolor="#9bbfbb">
                <v:stroke joinstyle="miter"/>
                <v:formulas/>
                <v:path arrowok="t" o:connecttype="custom" o:connectlocs="870302,0;6124575,0;6124575,0;6124575,5444773;5254273,6315075;0,6315075;0,6315075;0,870302;870302,0" o:connectangles="0,0,0,0,0,0,0,0,0" textboxrect="0,0,6124575,6315075"/>
                <v:textbox>
                  <w:txbxContent>
                    <w:p w14:paraId="3DB2D560" w14:textId="77B4E0E3" w:rsidR="00D234F9" w:rsidRDefault="00D234F9" w:rsidP="00856BE8">
                      <w:pPr>
                        <w:jc w:val="center"/>
                      </w:pPr>
                      <w:r>
                        <w:rPr>
                          <w:rStyle w:val="nfase"/>
                          <w:rFonts w:asciiTheme="majorHAnsi" w:hAnsiTheme="majorHAnsi"/>
                          <w:b/>
                          <w:i w:val="0"/>
                          <w:color w:val="595959" w:themeColor="text1" w:themeTint="A6"/>
                          <w:sz w:val="28"/>
                          <w:szCs w:val="28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624D5"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w:drawing>
          <wp:anchor distT="0" distB="0" distL="114300" distR="114300" simplePos="0" relativeHeight="251665408" behindDoc="1" locked="0" layoutInCell="1" allowOverlap="1" wp14:anchorId="1209EFD7" wp14:editId="6ADF2399">
            <wp:simplePos x="0" y="0"/>
            <wp:positionH relativeFrom="column">
              <wp:posOffset>419100</wp:posOffset>
            </wp:positionH>
            <wp:positionV relativeFrom="paragraph">
              <wp:posOffset>211455</wp:posOffset>
            </wp:positionV>
            <wp:extent cx="5257800" cy="1045464"/>
            <wp:effectExtent l="0" t="0" r="0" b="2540"/>
            <wp:wrapNone/>
            <wp:docPr id="2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E6F033" w14:textId="7FE518EF" w:rsidR="00856BE8" w:rsidRPr="00636514" w:rsidRDefault="00AF04B2" w:rsidP="00636514">
      <w:pPr>
        <w:ind w:right="57"/>
        <w:contextualSpacing/>
        <w:jc w:val="center"/>
        <w:outlineLvl w:val="0"/>
        <w:rPr>
          <w:rFonts w:ascii="Arial Narrow" w:hAnsi="Arial Narrow" w:cs="Arial"/>
          <w:b/>
          <w:color w:val="006666"/>
          <w:sz w:val="36"/>
          <w:szCs w:val="36"/>
        </w:rPr>
      </w:pPr>
      <w:r w:rsidRPr="008842A7">
        <w:rPr>
          <w:rFonts w:ascii="Arial Narrow" w:hAnsi="Arial Narrow" w:cs="ArialNarrow-Bold"/>
          <w:b/>
          <w:bCs/>
          <w:color w:val="FF0000"/>
          <w:sz w:val="36"/>
          <w:szCs w:val="34"/>
        </w:rPr>
        <w:t xml:space="preserve">   </w:t>
      </w:r>
      <w:r w:rsidR="002E69AA">
        <w:rPr>
          <w:rFonts w:ascii="Arial Narrow" w:hAnsi="Arial Narrow" w:cs="Arial"/>
          <w:b/>
          <w:color w:val="006666"/>
          <w:sz w:val="36"/>
          <w:szCs w:val="36"/>
        </w:rPr>
        <w:t xml:space="preserve">Produção industrial em Santa Catarina cresce </w:t>
      </w:r>
      <w:r w:rsidR="00E406B0">
        <w:rPr>
          <w:rFonts w:ascii="Arial Narrow" w:hAnsi="Arial Narrow" w:cs="Arial"/>
          <w:b/>
          <w:color w:val="006666"/>
          <w:sz w:val="36"/>
          <w:szCs w:val="36"/>
        </w:rPr>
        <w:t>acima da média nacional</w:t>
      </w:r>
    </w:p>
    <w:p w14:paraId="0C99B3FD" w14:textId="77777777" w:rsidR="00856BE8" w:rsidRPr="004622E8" w:rsidRDefault="00856BE8" w:rsidP="00856BE8">
      <w:pPr>
        <w:jc w:val="both"/>
        <w:rPr>
          <w:rFonts w:ascii="Arial Narrow" w:hAnsi="Arial Narrow"/>
          <w:i/>
        </w:rPr>
      </w:pPr>
    </w:p>
    <w:p w14:paraId="53088FF2" w14:textId="77777777" w:rsidR="00076F55" w:rsidRPr="004622E8" w:rsidRDefault="00076F55" w:rsidP="00856BE8">
      <w:pPr>
        <w:pStyle w:val="BasicParagraph"/>
        <w:spacing w:line="240" w:lineRule="auto"/>
        <w:ind w:left="-284"/>
        <w:jc w:val="both"/>
        <w:outlineLvl w:val="0"/>
        <w:rPr>
          <w:rFonts w:ascii="Arial Narrow" w:eastAsia="Times New Roman" w:hAnsi="Arial Narrow" w:cs="Calibri"/>
          <w:i/>
          <w:iCs/>
          <w:lang w:val="pt-BR" w:eastAsia="pt-BR"/>
        </w:rPr>
      </w:pPr>
    </w:p>
    <w:p w14:paraId="25D17360" w14:textId="380319CA" w:rsidR="00CD6397" w:rsidRDefault="002E69AA" w:rsidP="002E69AA">
      <w:pPr>
        <w:ind w:right="57"/>
        <w:contextualSpacing/>
        <w:jc w:val="both"/>
        <w:outlineLvl w:val="0"/>
        <w:rPr>
          <w:rFonts w:ascii="Arial Narrow" w:eastAsia="Times New Roman" w:hAnsi="Arial Narrow" w:cs="Calibri"/>
          <w:i/>
          <w:color w:val="000000"/>
          <w:lang w:eastAsia="pt-BR"/>
        </w:rPr>
      </w:pP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>Os resultados da Pesquisa Industrial Mensal do IBGE mostram</w:t>
      </w:r>
      <w:r w:rsidR="00367391">
        <w:rPr>
          <w:rFonts w:ascii="Arial Narrow" w:eastAsia="Times New Roman" w:hAnsi="Arial Narrow" w:cs="Calibri"/>
          <w:i/>
          <w:color w:val="000000"/>
          <w:lang w:eastAsia="pt-BR"/>
        </w:rPr>
        <w:t xml:space="preserve"> que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 xml:space="preserve"> </w:t>
      </w:r>
      <w:r w:rsidR="00E406B0">
        <w:rPr>
          <w:rFonts w:ascii="Arial Narrow" w:eastAsia="Times New Roman" w:hAnsi="Arial Narrow" w:cs="Calibri"/>
          <w:i/>
          <w:color w:val="000000"/>
          <w:lang w:eastAsia="pt-BR"/>
        </w:rPr>
        <w:t>a produção industrial catarinense cresceu 1,2% na comparação com fevereiro de 2019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 xml:space="preserve">, </w:t>
      </w:r>
      <w:r w:rsidR="00E406B0">
        <w:rPr>
          <w:rFonts w:ascii="Arial Narrow" w:eastAsia="Times New Roman" w:hAnsi="Arial Narrow" w:cs="Calibri"/>
          <w:i/>
          <w:color w:val="000000"/>
          <w:lang w:eastAsia="pt-BR"/>
        </w:rPr>
        <w:t>e 3,0% no confronto com o mesmo mês do ano anterior.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 xml:space="preserve"> No acumulado do ano, a produção industrial avançou </w:t>
      </w:r>
      <w:r w:rsidR="00E406B0">
        <w:rPr>
          <w:rFonts w:ascii="Arial Narrow" w:eastAsia="Times New Roman" w:hAnsi="Arial Narrow" w:cs="Calibri"/>
          <w:i/>
          <w:color w:val="000000"/>
          <w:lang w:eastAsia="pt-BR"/>
        </w:rPr>
        <w:t>2,8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>%, acima da média brasileira,</w:t>
      </w:r>
      <w:r w:rsidR="00E406B0">
        <w:rPr>
          <w:rFonts w:ascii="Arial Narrow" w:eastAsia="Times New Roman" w:hAnsi="Arial Narrow" w:cs="Calibri"/>
          <w:i/>
          <w:color w:val="000000"/>
          <w:lang w:eastAsia="pt-BR"/>
        </w:rPr>
        <w:t xml:space="preserve"> que recuou 2,2%. Esse crescimento posiciona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 xml:space="preserve"> a indústria de transformação catarinense em </w:t>
      </w:r>
      <w:r w:rsidR="00E406B0">
        <w:rPr>
          <w:rFonts w:ascii="Arial Narrow" w:eastAsia="Times New Roman" w:hAnsi="Arial Narrow" w:cs="Calibri"/>
          <w:i/>
          <w:color w:val="000000"/>
          <w:lang w:eastAsia="pt-BR"/>
        </w:rPr>
        <w:t>4</w:t>
      </w:r>
      <w:r w:rsidRPr="002E69AA">
        <w:rPr>
          <w:rFonts w:ascii="Arial Narrow" w:eastAsia="Times New Roman" w:hAnsi="Arial Narrow" w:cs="Calibri"/>
          <w:i/>
          <w:color w:val="000000"/>
          <w:lang w:eastAsia="pt-BR"/>
        </w:rPr>
        <w:t>º lugar no ranking de desempenho entre as Unidades Federativas.</w:t>
      </w:r>
      <w:r w:rsidR="00CD6397">
        <w:rPr>
          <w:rFonts w:ascii="Arial Narrow" w:eastAsia="Times New Roman" w:hAnsi="Arial Narrow" w:cs="Calibri"/>
          <w:i/>
          <w:color w:val="000000"/>
          <w:lang w:eastAsia="pt-BR"/>
        </w:rPr>
        <w:t xml:space="preserve"> </w:t>
      </w:r>
    </w:p>
    <w:p w14:paraId="19AF35F2" w14:textId="77777777" w:rsidR="00CD6397" w:rsidRDefault="00CD6397" w:rsidP="009311ED">
      <w:pPr>
        <w:ind w:right="57"/>
        <w:contextualSpacing/>
        <w:jc w:val="both"/>
        <w:outlineLvl w:val="0"/>
        <w:rPr>
          <w:rFonts w:ascii="Arial Narrow" w:eastAsia="Times New Roman" w:hAnsi="Arial Narrow" w:cs="Calibri"/>
          <w:i/>
          <w:color w:val="000000"/>
          <w:lang w:eastAsia="pt-BR"/>
        </w:rPr>
      </w:pPr>
    </w:p>
    <w:p w14:paraId="791F75D4" w14:textId="6F43DE2C" w:rsidR="009311ED" w:rsidRPr="00842D1A" w:rsidRDefault="00600810" w:rsidP="009311ED">
      <w:pPr>
        <w:ind w:right="57"/>
        <w:contextualSpacing/>
        <w:jc w:val="both"/>
        <w:outlineLvl w:val="0"/>
        <w:rPr>
          <w:rFonts w:ascii="Arial Narrow" w:eastAsia="Times New Roman" w:hAnsi="Arial Narrow" w:cs="Calibri"/>
          <w:i/>
          <w:color w:val="000000"/>
          <w:lang w:eastAsia="pt-BR"/>
        </w:rPr>
      </w:pPr>
      <w:r w:rsidRPr="00600810">
        <w:rPr>
          <w:rFonts w:ascii="Arial Narrow" w:eastAsia="Times New Roman" w:hAnsi="Arial Narrow" w:cs="Calibri"/>
          <w:i/>
          <w:color w:val="000000"/>
          <w:lang w:eastAsia="pt-BR"/>
        </w:rPr>
        <w:t>.</w:t>
      </w:r>
      <w:r w:rsidRPr="00600810">
        <w:rPr>
          <w:rFonts w:ascii="Arial Narrow" w:eastAsia="Times New Roman" w:hAnsi="Arial Narrow" w:cs="Calibri"/>
          <w:i/>
          <w:color w:val="000000"/>
          <w:lang w:eastAsia="pt-BR"/>
        </w:rPr>
        <w:tab/>
      </w:r>
      <w:r w:rsidRPr="00600810">
        <w:rPr>
          <w:rFonts w:ascii="Arial Narrow" w:eastAsia="Times New Roman" w:hAnsi="Arial Narrow" w:cs="Calibri"/>
          <w:i/>
          <w:color w:val="000000"/>
          <w:lang w:eastAsia="pt-BR"/>
        </w:rPr>
        <w:tab/>
      </w:r>
      <w:r w:rsidRPr="00600810">
        <w:rPr>
          <w:rFonts w:ascii="Arial Narrow" w:eastAsia="Times New Roman" w:hAnsi="Arial Narrow" w:cs="Calibri"/>
          <w:i/>
          <w:color w:val="000000"/>
          <w:lang w:eastAsia="pt-BR"/>
        </w:rPr>
        <w:tab/>
      </w:r>
      <w:r w:rsidRPr="00600810">
        <w:rPr>
          <w:rFonts w:ascii="Arial Narrow" w:eastAsia="Times New Roman" w:hAnsi="Arial Narrow" w:cs="Calibri"/>
          <w:i/>
          <w:color w:val="000000"/>
          <w:lang w:eastAsia="pt-BR"/>
        </w:rPr>
        <w:tab/>
      </w:r>
      <w:r w:rsidR="006C57DD" w:rsidRPr="006C57DD">
        <w:rPr>
          <w:rFonts w:ascii="Arial Narrow" w:hAnsi="Arial Narrow" w:cs="Arial"/>
          <w:i/>
          <w:color w:val="000000" w:themeColor="text1"/>
        </w:rPr>
        <w:tab/>
      </w:r>
    </w:p>
    <w:p w14:paraId="686AA7F2" w14:textId="1B08E106" w:rsidR="002E69AA" w:rsidRPr="002E69AA" w:rsidRDefault="002E69AA" w:rsidP="002E69AA">
      <w:pPr>
        <w:ind w:right="57"/>
        <w:contextualSpacing/>
        <w:jc w:val="center"/>
        <w:outlineLvl w:val="0"/>
        <w:rPr>
          <w:rFonts w:ascii="Arial Narrow" w:hAnsi="Arial Narrow" w:cs="Arial"/>
          <w:b/>
          <w:color w:val="006666"/>
          <w:sz w:val="28"/>
          <w:szCs w:val="22"/>
        </w:rPr>
      </w:pPr>
      <w:r w:rsidRPr="002E69AA">
        <w:rPr>
          <w:rFonts w:ascii="Arial Narrow" w:hAnsi="Arial Narrow" w:cs="Arial"/>
          <w:b/>
          <w:color w:val="006666"/>
          <w:sz w:val="28"/>
          <w:szCs w:val="22"/>
        </w:rPr>
        <w:t>Variações da Produção (</w:t>
      </w:r>
      <w:r w:rsidR="004A0390">
        <w:rPr>
          <w:rFonts w:ascii="Arial Narrow" w:hAnsi="Arial Narrow" w:cs="Arial"/>
          <w:b/>
          <w:color w:val="006666"/>
          <w:sz w:val="28"/>
          <w:szCs w:val="22"/>
        </w:rPr>
        <w:t>março</w:t>
      </w:r>
      <w:r w:rsidRPr="002E69AA">
        <w:rPr>
          <w:rFonts w:ascii="Arial Narrow" w:hAnsi="Arial Narrow" w:cs="Arial"/>
          <w:b/>
          <w:color w:val="006666"/>
          <w:sz w:val="28"/>
          <w:szCs w:val="22"/>
        </w:rPr>
        <w:t xml:space="preserve"> de 2019) – </w:t>
      </w:r>
      <w:r>
        <w:rPr>
          <w:rFonts w:ascii="Arial Narrow" w:hAnsi="Arial Narrow" w:cs="Arial"/>
          <w:b/>
          <w:color w:val="006666"/>
          <w:sz w:val="28"/>
          <w:szCs w:val="22"/>
        </w:rPr>
        <w:t>Síntese</w:t>
      </w:r>
    </w:p>
    <w:tbl>
      <w:tblPr>
        <w:tblW w:w="8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919"/>
        <w:gridCol w:w="1947"/>
      </w:tblGrid>
      <w:tr w:rsidR="002E69AA" w:rsidRPr="005A5124" w14:paraId="45A9397B" w14:textId="77777777" w:rsidTr="002E69AA">
        <w:trPr>
          <w:trHeight w:val="355"/>
        </w:trPr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5EB9D736" w14:textId="77777777" w:rsidR="002E69AA" w:rsidRPr="002B06C9" w:rsidRDefault="002E69AA" w:rsidP="009B2093">
            <w:pPr>
              <w:jc w:val="center"/>
              <w:rPr>
                <w:rFonts w:ascii="Arial Narrow" w:eastAsia="Times New Roman" w:hAnsi="Arial Narrow" w:cs="Calibri"/>
                <w:color w:val="FFFFFF"/>
                <w:lang w:eastAsia="pt-BR"/>
              </w:rPr>
            </w:pPr>
            <w:r w:rsidRPr="002B06C9">
              <w:rPr>
                <w:rFonts w:ascii="Arial Narrow" w:eastAsia="Times New Roman" w:hAnsi="Arial Narrow" w:cs="Calibri"/>
                <w:color w:val="FFFFFF"/>
                <w:lang w:eastAsia="pt-BR"/>
              </w:rPr>
              <w:t>Variáveis</w:t>
            </w:r>
          </w:p>
        </w:tc>
        <w:tc>
          <w:tcPr>
            <w:tcW w:w="184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1A822CD4" w14:textId="77777777" w:rsidR="002E69AA" w:rsidRPr="002E69AA" w:rsidRDefault="002E69AA" w:rsidP="009B20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</w:pPr>
            <w:r w:rsidRPr="002E69AA"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  <w:t>Variação % Mensal</w:t>
            </w:r>
          </w:p>
        </w:tc>
        <w:tc>
          <w:tcPr>
            <w:tcW w:w="191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0EFE7E4F" w14:textId="77777777" w:rsidR="002E69AA" w:rsidRPr="002E69AA" w:rsidRDefault="002E69AA" w:rsidP="009B20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</w:pPr>
            <w:r w:rsidRPr="002E69AA"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  <w:t>Variação % no mesmo período</w:t>
            </w:r>
          </w:p>
        </w:tc>
        <w:tc>
          <w:tcPr>
            <w:tcW w:w="194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54406681" w14:textId="77777777" w:rsidR="002E69AA" w:rsidRPr="002E69AA" w:rsidRDefault="002E69AA" w:rsidP="009B20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</w:pPr>
            <w:r w:rsidRPr="002E69AA"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  <w:t>Variação % no Acumulado do Ano</w:t>
            </w:r>
          </w:p>
        </w:tc>
      </w:tr>
      <w:tr w:rsidR="002E69AA" w:rsidRPr="005A5124" w14:paraId="5CEBA8A0" w14:textId="77777777" w:rsidTr="002E69AA">
        <w:trPr>
          <w:trHeight w:val="300"/>
        </w:trPr>
        <w:tc>
          <w:tcPr>
            <w:tcW w:w="297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0EFCA1" w14:textId="77777777" w:rsidR="002E69AA" w:rsidRPr="002B06C9" w:rsidRDefault="002E69AA" w:rsidP="009B2093">
            <w:pPr>
              <w:rPr>
                <w:rFonts w:ascii="Arial Narrow" w:eastAsia="Times New Roman" w:hAnsi="Arial Narrow" w:cs="Calibri"/>
                <w:color w:val="FFFFFF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41FE50E7" w14:textId="7B3259DE" w:rsidR="002E69AA" w:rsidRPr="002E69AA" w:rsidRDefault="004A0390" w:rsidP="009B2093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Março</w:t>
            </w:r>
            <w:r w:rsidR="002E69AA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 xml:space="preserve"> 2019/</w:t>
            </w:r>
          </w:p>
          <w:p w14:paraId="54729265" w14:textId="4692FB2D" w:rsidR="002E69AA" w:rsidRPr="002E69AA" w:rsidRDefault="004A0390" w:rsidP="009B2093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Fevereiro</w:t>
            </w:r>
            <w:r w:rsidR="002E69AA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 xml:space="preserve"> 2019*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4A671CC9" w14:textId="7CAB848C" w:rsidR="002E69AA" w:rsidRPr="002E69AA" w:rsidRDefault="004A0390" w:rsidP="009B2093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Março</w:t>
            </w:r>
            <w:r w:rsidR="002E69AA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 xml:space="preserve"> 2019/</w:t>
            </w:r>
          </w:p>
          <w:p w14:paraId="70C81AAA" w14:textId="4AC42713" w:rsidR="002E69AA" w:rsidRPr="002E69AA" w:rsidRDefault="004A0390" w:rsidP="009B2093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Março</w:t>
            </w:r>
            <w:r w:rsidR="002E69AA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 xml:space="preserve"> 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36CEE3AB" w14:textId="77777777" w:rsidR="004A0390" w:rsidRDefault="004A0390" w:rsidP="004A0390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 xml:space="preserve">Acumulado </w:t>
            </w:r>
          </w:p>
          <w:p w14:paraId="47B3EF2F" w14:textId="6FE4C7B8" w:rsidR="002E69AA" w:rsidRPr="002E69AA" w:rsidRDefault="004A0390" w:rsidP="004A0390">
            <w:pPr>
              <w:jc w:val="center"/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J</w:t>
            </w:r>
            <w:r w:rsidR="00F13CB3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aneiro</w:t>
            </w:r>
            <w:r w:rsidR="002E69AA" w:rsidRPr="002E69AA"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-</w:t>
            </w:r>
            <w:r>
              <w:rPr>
                <w:rFonts w:ascii="Arial Narrow" w:eastAsia="Times New Roman" w:hAnsi="Arial Narrow" w:cs="Calibri"/>
                <w:color w:val="FFFFFF"/>
                <w:sz w:val="20"/>
                <w:lang w:eastAsia="pt-BR"/>
              </w:rPr>
              <w:t>Março</w:t>
            </w:r>
          </w:p>
        </w:tc>
      </w:tr>
      <w:tr w:rsidR="002E69AA" w:rsidRPr="005A5124" w14:paraId="3833BFB9" w14:textId="77777777" w:rsidTr="002E69A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57B0F810" w14:textId="77777777" w:rsidR="002E69AA" w:rsidRPr="002B06C9" w:rsidRDefault="002E69AA" w:rsidP="002E69AA">
            <w:pPr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</w:pPr>
            <w:r w:rsidRPr="002B06C9"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  <w:t>INDÚSTRIA GERAL – BRASIL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3B2953E8" w14:textId="153221CE" w:rsidR="002E69AA" w:rsidRPr="002E69AA" w:rsidRDefault="004A0390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-1,3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3B84B9CF" w14:textId="28F9897B" w:rsidR="002E69AA" w:rsidRPr="002E69AA" w:rsidRDefault="00E406B0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-6,1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6DD8FB76" w14:textId="2C2D74D3" w:rsidR="002E69AA" w:rsidRPr="002E69AA" w:rsidRDefault="00E406B0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-2,2</w:t>
            </w:r>
          </w:p>
        </w:tc>
      </w:tr>
      <w:tr w:rsidR="002E69AA" w:rsidRPr="005A5124" w14:paraId="022B994D" w14:textId="77777777" w:rsidTr="002E69A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6666"/>
            <w:vAlign w:val="center"/>
            <w:hideMark/>
          </w:tcPr>
          <w:p w14:paraId="344EFEBD" w14:textId="77777777" w:rsidR="002E69AA" w:rsidRPr="002B06C9" w:rsidRDefault="002E69AA" w:rsidP="002E69AA">
            <w:pPr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</w:pPr>
            <w:r w:rsidRPr="002B06C9">
              <w:rPr>
                <w:rFonts w:ascii="Arial Narrow" w:eastAsia="Times New Roman" w:hAnsi="Arial Narrow" w:cs="Calibri"/>
                <w:b/>
                <w:bCs/>
                <w:color w:val="FFFFFF"/>
                <w:lang w:eastAsia="pt-BR"/>
              </w:rPr>
              <w:t>INDÚSTRIA GERAL – 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558F6D07" w14:textId="6804362D" w:rsidR="002E69AA" w:rsidRPr="002E69AA" w:rsidRDefault="003B1AE4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1,2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7A56939C" w14:textId="7620FC76" w:rsidR="002E69AA" w:rsidRPr="002E69AA" w:rsidRDefault="00E406B0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3,0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F1DD"/>
            <w:vAlign w:val="center"/>
            <w:hideMark/>
          </w:tcPr>
          <w:p w14:paraId="6669C15A" w14:textId="4BA4BAF5" w:rsidR="002E69AA" w:rsidRPr="002E69AA" w:rsidRDefault="00E406B0" w:rsidP="002E69AA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18"/>
              </w:rPr>
              <w:t>2,8</w:t>
            </w:r>
          </w:p>
        </w:tc>
      </w:tr>
    </w:tbl>
    <w:p w14:paraId="5DA4DF42" w14:textId="77777777" w:rsidR="002E69AA" w:rsidRDefault="002E69AA" w:rsidP="002E69AA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14:paraId="1915E157" w14:textId="77777777" w:rsidR="002E69AA" w:rsidRPr="001F0301" w:rsidRDefault="002E69AA" w:rsidP="002E69AA">
      <w:pPr>
        <w:contextualSpacing/>
        <w:rPr>
          <w:rFonts w:ascii="Arial Narrow" w:hAnsi="Arial Narrow"/>
          <w:iCs/>
          <w:sz w:val="16"/>
          <w:szCs w:val="16"/>
        </w:rPr>
      </w:pPr>
      <w:r w:rsidRPr="001F0301">
        <w:rPr>
          <w:rStyle w:val="nfase"/>
          <w:rFonts w:ascii="Arial Narrow" w:hAnsi="Arial Narrow"/>
          <w:sz w:val="16"/>
          <w:szCs w:val="16"/>
        </w:rPr>
        <w:t>Fonte: IBGE – Pesquisa Industrial Mensal de Produção Física Regional.</w:t>
      </w:r>
    </w:p>
    <w:p w14:paraId="77728278" w14:textId="77777777" w:rsidR="002E69AA" w:rsidRPr="001F0301" w:rsidRDefault="002E69AA" w:rsidP="002E69AA">
      <w:pPr>
        <w:jc w:val="both"/>
        <w:rPr>
          <w:rFonts w:ascii="Arial Narrow" w:hAnsi="Arial Narrow" w:cs="Arial"/>
        </w:rPr>
      </w:pPr>
    </w:p>
    <w:p w14:paraId="7F043AD0" w14:textId="77777777" w:rsidR="002E69AA" w:rsidRPr="001F0301" w:rsidRDefault="002E69AA" w:rsidP="002E69AA">
      <w:pPr>
        <w:jc w:val="both"/>
        <w:rPr>
          <w:rFonts w:ascii="Arial Narrow" w:hAnsi="Arial Narrow" w:cs="Arial"/>
        </w:rPr>
      </w:pPr>
      <w:r w:rsidRPr="001F0301">
        <w:rPr>
          <w:rFonts w:ascii="Arial Narrow" w:hAnsi="Arial Narrow" w:cs="Arial"/>
        </w:rPr>
        <w:t>No ranking comparativo das Unidades Federativas, a posição de Santa Catarina varia conforme o critério de comparação:</w:t>
      </w:r>
    </w:p>
    <w:p w14:paraId="60513C44" w14:textId="77777777" w:rsidR="002E69AA" w:rsidRPr="001F0301" w:rsidRDefault="002E69AA" w:rsidP="002E69AA">
      <w:pPr>
        <w:jc w:val="both"/>
        <w:rPr>
          <w:rFonts w:ascii="Arial Narrow" w:hAnsi="Arial Narrow" w:cs="Arial"/>
        </w:rPr>
      </w:pPr>
    </w:p>
    <w:tbl>
      <w:tblPr>
        <w:tblW w:w="8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3119"/>
        <w:gridCol w:w="1971"/>
      </w:tblGrid>
      <w:tr w:rsidR="002E69AA" w:rsidRPr="001F0301" w14:paraId="6BBD1489" w14:textId="77777777" w:rsidTr="002E69AA">
        <w:trPr>
          <w:trHeight w:val="282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1DC8A" w14:textId="10D947DC" w:rsidR="002E69AA" w:rsidRPr="002E69AA" w:rsidRDefault="003B1AE4" w:rsidP="003B1AE4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Março</w:t>
            </w:r>
            <w:r w:rsidR="002E69AA"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 xml:space="preserve"> 2019/</w:t>
            </w:r>
            <w:r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Fevereiro</w:t>
            </w:r>
            <w:r w:rsidR="002E69AA"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 xml:space="preserve"> 2019*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659D3" w14:textId="36C7506C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2"/>
                <w:lang w:eastAsia="pt-BR"/>
              </w:rPr>
            </w:pPr>
            <w:r w:rsidRPr="002E69AA">
              <w:rPr>
                <w:rFonts w:ascii="Arial Narrow" w:hAnsi="Arial Narrow" w:cs="Calibri"/>
                <w:color w:val="000000"/>
                <w:sz w:val="28"/>
                <w:szCs w:val="22"/>
              </w:rPr>
              <w:t>Indústria Geral: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B643" w14:textId="307C748C" w:rsidR="002E69AA" w:rsidRPr="002E69AA" w:rsidRDefault="00E406B0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5</w:t>
            </w:r>
            <w:r w:rsidR="002E69AA" w:rsidRPr="002E69AA"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º LUGAR</w:t>
            </w:r>
          </w:p>
        </w:tc>
      </w:tr>
      <w:tr w:rsidR="002E69AA" w:rsidRPr="001F0301" w14:paraId="14781F8D" w14:textId="77777777" w:rsidTr="002E69AA">
        <w:trPr>
          <w:trHeight w:val="282"/>
        </w:trPr>
        <w:tc>
          <w:tcPr>
            <w:tcW w:w="34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B0B3" w14:textId="255D21B3" w:rsidR="002E69AA" w:rsidRPr="002E69AA" w:rsidRDefault="003B1AE4" w:rsidP="003B1AE4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Março</w:t>
            </w:r>
            <w:r w:rsidR="002E69AA"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 xml:space="preserve"> 2019/</w:t>
            </w:r>
            <w:r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Março</w:t>
            </w:r>
            <w:r w:rsidR="002E69AA"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 xml:space="preserve"> 2018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9048" w14:textId="1CCC319E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2"/>
                <w:lang w:eastAsia="pt-BR"/>
              </w:rPr>
            </w:pPr>
            <w:r w:rsidRPr="002E69AA">
              <w:rPr>
                <w:rFonts w:ascii="Arial Narrow" w:hAnsi="Arial Narrow" w:cs="Calibri"/>
                <w:color w:val="000000"/>
                <w:sz w:val="28"/>
                <w:szCs w:val="22"/>
              </w:rPr>
              <w:t>Indústria Geral: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D80C" w14:textId="318FFCF8" w:rsidR="002E69AA" w:rsidRPr="002E69AA" w:rsidRDefault="00E406B0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2</w:t>
            </w:r>
            <w:r w:rsidR="002E69AA" w:rsidRPr="002E69AA"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º LUGAR</w:t>
            </w:r>
          </w:p>
        </w:tc>
      </w:tr>
      <w:tr w:rsidR="002E69AA" w:rsidRPr="001F0301" w14:paraId="49BA9FFA" w14:textId="77777777" w:rsidTr="002E69AA">
        <w:trPr>
          <w:trHeight w:val="269"/>
        </w:trPr>
        <w:tc>
          <w:tcPr>
            <w:tcW w:w="347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F19DF" w14:textId="77777777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lang w:eastAsia="pt-B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5BF2" w14:textId="44B2ED37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2"/>
                <w:lang w:eastAsia="pt-BR"/>
              </w:rPr>
            </w:pPr>
            <w:r w:rsidRPr="002E69AA">
              <w:rPr>
                <w:rFonts w:ascii="Arial Narrow" w:hAnsi="Arial Narrow" w:cs="Calibri"/>
                <w:color w:val="000000"/>
                <w:sz w:val="28"/>
                <w:szCs w:val="22"/>
              </w:rPr>
              <w:t>Indústria de Transformação: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4E40" w14:textId="7BE89553" w:rsidR="002E69AA" w:rsidRPr="002E69AA" w:rsidRDefault="00E406B0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2</w:t>
            </w:r>
            <w:r w:rsidR="002E69AA" w:rsidRPr="002E69AA"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º LUGAR</w:t>
            </w:r>
          </w:p>
        </w:tc>
      </w:tr>
      <w:tr w:rsidR="002E69AA" w:rsidRPr="001F0301" w14:paraId="0A53F2DD" w14:textId="77777777" w:rsidTr="002E69AA">
        <w:trPr>
          <w:trHeight w:val="296"/>
        </w:trPr>
        <w:tc>
          <w:tcPr>
            <w:tcW w:w="34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128A" w14:textId="4AAEC0B4" w:rsidR="002E69AA" w:rsidRPr="002E69AA" w:rsidRDefault="002E69AA" w:rsidP="003B1AE4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lang w:eastAsia="pt-BR"/>
              </w:rPr>
            </w:pPr>
            <w:r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 xml:space="preserve">Acumulado </w:t>
            </w:r>
            <w:r w:rsidR="003B1AE4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Janeiro</w:t>
            </w:r>
            <w:r w:rsidRPr="002E69AA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-</w:t>
            </w:r>
            <w:r w:rsidR="003B1AE4">
              <w:rPr>
                <w:rFonts w:ascii="Arial Narrow" w:hAnsi="Arial Narrow" w:cs="Calibri"/>
                <w:b/>
                <w:bCs/>
                <w:color w:val="000000"/>
                <w:sz w:val="28"/>
              </w:rPr>
              <w:t>Março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EE02" w14:textId="0D6477B3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2"/>
                <w:lang w:eastAsia="pt-BR"/>
              </w:rPr>
            </w:pPr>
            <w:r w:rsidRPr="002E69AA">
              <w:rPr>
                <w:rFonts w:ascii="Arial Narrow" w:hAnsi="Arial Narrow" w:cs="Calibri"/>
                <w:color w:val="000000"/>
                <w:sz w:val="28"/>
                <w:szCs w:val="22"/>
              </w:rPr>
              <w:t>Indústria Geral: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8D35" w14:textId="24B58C30" w:rsidR="002E69AA" w:rsidRPr="002E69AA" w:rsidRDefault="00E406B0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3</w:t>
            </w:r>
            <w:r w:rsidR="002E69AA" w:rsidRPr="002E69AA"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º LUGAR</w:t>
            </w:r>
          </w:p>
        </w:tc>
      </w:tr>
      <w:tr w:rsidR="002E69AA" w:rsidRPr="001F0301" w14:paraId="370FCF93" w14:textId="77777777" w:rsidTr="002E69AA">
        <w:trPr>
          <w:trHeight w:val="323"/>
        </w:trPr>
        <w:tc>
          <w:tcPr>
            <w:tcW w:w="347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8BC23" w14:textId="77777777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lang w:eastAsia="pt-B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658DD" w14:textId="3554D819" w:rsidR="002E69AA" w:rsidRPr="002E69AA" w:rsidRDefault="002E69AA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2"/>
                <w:lang w:eastAsia="pt-BR"/>
              </w:rPr>
            </w:pPr>
            <w:r w:rsidRPr="002E69AA">
              <w:rPr>
                <w:rFonts w:ascii="Arial Narrow" w:hAnsi="Arial Narrow" w:cs="Calibri"/>
                <w:color w:val="000000"/>
                <w:sz w:val="28"/>
                <w:szCs w:val="22"/>
              </w:rPr>
              <w:t>Indústria de Transformação: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C016F" w14:textId="7244602A" w:rsidR="002E69AA" w:rsidRPr="002E69AA" w:rsidRDefault="00E406B0" w:rsidP="002E69AA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4</w:t>
            </w:r>
            <w:r w:rsidR="002E69AA" w:rsidRPr="002E69AA">
              <w:rPr>
                <w:rFonts w:ascii="Arial Narrow" w:hAnsi="Arial Narrow" w:cs="Calibri"/>
                <w:b/>
                <w:color w:val="000000"/>
                <w:sz w:val="28"/>
                <w:szCs w:val="22"/>
              </w:rPr>
              <w:t>º LUGAR</w:t>
            </w:r>
          </w:p>
        </w:tc>
      </w:tr>
    </w:tbl>
    <w:p w14:paraId="749B027B" w14:textId="77777777" w:rsidR="002E69AA" w:rsidRPr="001F0301" w:rsidRDefault="002E69AA" w:rsidP="002E69AA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1F0301">
        <w:rPr>
          <w:rFonts w:ascii="Arial Narrow" w:hAnsi="Arial Narrow" w:cs="Arial"/>
          <w:sz w:val="20"/>
          <w:szCs w:val="20"/>
        </w:rPr>
        <w:t>*Considerando ajustes sazonais.</w:t>
      </w:r>
    </w:p>
    <w:p w14:paraId="5726374A" w14:textId="77777777" w:rsidR="002B06C9" w:rsidRDefault="002B06C9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70F51AE1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709006FE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3C69EFDD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4325FCF2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0B73A237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486B3319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74433648" w14:textId="77777777" w:rsidR="0065307D" w:rsidRDefault="0065307D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5653AB1B" w14:textId="77777777" w:rsidR="005E611F" w:rsidRDefault="005E611F" w:rsidP="00842D1A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</w:p>
    <w:p w14:paraId="5DC1E3BF" w14:textId="77E7B267" w:rsidR="00562F99" w:rsidRDefault="003E2BE1" w:rsidP="00562F99">
      <w:pPr>
        <w:pStyle w:val="BasicParagraph"/>
        <w:spacing w:line="360" w:lineRule="auto"/>
        <w:ind w:left="-284"/>
        <w:jc w:val="both"/>
        <w:outlineLvl w:val="0"/>
        <w:rPr>
          <w:rFonts w:ascii="Arial Narrow" w:hAnsi="Arial Narrow" w:cs="Arial"/>
          <w:lang w:val="pt-BR"/>
        </w:rPr>
      </w:pP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A Produção Industrial Catarinense cresceu </w:t>
      </w:r>
      <w:r w:rsidR="005E611F">
        <w:rPr>
          <w:rFonts w:ascii="Arial Narrow" w:eastAsiaTheme="minorEastAsia" w:hAnsi="Arial Narrow" w:cs="Arial"/>
          <w:color w:val="auto"/>
          <w:lang w:val="pt-BR"/>
        </w:rPr>
        <w:t>1,2% em relação a fevereiro de 2019,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 estando no rol dos 6 locais que tiveram variação positiva, dos 15 pesquisados pelo IBGE. Essa variação coloca Santa Catarina no 5º lugar no ranking estadual da produção industrial no </w:t>
      </w:r>
      <w:r w:rsidR="005E611F">
        <w:rPr>
          <w:rFonts w:ascii="Arial Narrow" w:eastAsiaTheme="minorEastAsia" w:hAnsi="Arial Narrow" w:cs="Arial"/>
          <w:color w:val="auto"/>
          <w:lang w:val="pt-BR"/>
        </w:rPr>
        <w:t>comparativo março-fevereiro/2019</w:t>
      </w:r>
      <w:r w:rsidRPr="003E2BE1">
        <w:rPr>
          <w:rFonts w:ascii="Arial Narrow" w:eastAsiaTheme="minorEastAsia" w:hAnsi="Arial Narrow" w:cs="Arial"/>
          <w:color w:val="auto"/>
          <w:lang w:val="pt-BR"/>
        </w:rPr>
        <w:t>.</w:t>
      </w:r>
      <w:r w:rsidR="005E611F">
        <w:rPr>
          <w:rFonts w:ascii="Arial Narrow" w:eastAsiaTheme="minorEastAsia" w:hAnsi="Arial Narrow" w:cs="Arial"/>
          <w:color w:val="auto"/>
          <w:lang w:val="pt-BR"/>
        </w:rPr>
        <w:t xml:space="preserve"> </w:t>
      </w:r>
      <w:r w:rsidRPr="003E2BE1">
        <w:rPr>
          <w:rFonts w:ascii="Arial Narrow" w:eastAsiaTheme="minorEastAsia" w:hAnsi="Arial Narrow" w:cs="Arial"/>
          <w:color w:val="auto"/>
          <w:lang w:val="pt-BR"/>
        </w:rPr>
        <w:t>Os melhores desempenhos foram observados n</w:t>
      </w:r>
      <w:r w:rsidR="005E611F">
        <w:rPr>
          <w:rFonts w:ascii="Arial Narrow" w:eastAsiaTheme="minorEastAsia" w:hAnsi="Arial Narrow" w:cs="Arial"/>
          <w:color w:val="auto"/>
          <w:lang w:val="pt-BR"/>
        </w:rPr>
        <w:t>o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 Espírito Santo (3,6%), n</w:t>
      </w:r>
      <w:r w:rsidR="005E611F">
        <w:rPr>
          <w:rFonts w:ascii="Arial Narrow" w:eastAsiaTheme="minorEastAsia" w:hAnsi="Arial Narrow" w:cs="Arial"/>
          <w:color w:val="auto"/>
          <w:lang w:val="pt-BR"/>
        </w:rPr>
        <w:t>o Rio de Janeiro (2,9%), em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 Goiás (2,3%)</w:t>
      </w:r>
      <w:r w:rsidR="005E611F">
        <w:rPr>
          <w:rFonts w:ascii="Arial Narrow" w:eastAsiaTheme="minorEastAsia" w:hAnsi="Arial Narrow" w:cs="Arial"/>
          <w:color w:val="auto"/>
          <w:lang w:val="pt-BR"/>
        </w:rPr>
        <w:t xml:space="preserve"> e no Paraná (1,5%)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. Do lado oposto, </w:t>
      </w:r>
      <w:r w:rsidR="005E611F">
        <w:rPr>
          <w:rFonts w:ascii="Arial Narrow" w:eastAsiaTheme="minorEastAsia" w:hAnsi="Arial Narrow" w:cs="Arial"/>
          <w:color w:val="auto"/>
          <w:lang w:val="pt-BR"/>
        </w:rPr>
        <w:t xml:space="preserve">os locais que registraram queda na sua produção industrial foram 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os estados do Pará (-11,3%), Bahia (-10,1%) e Região Nordeste (-7,5%). Em comparação com o índice da produção industrial brasileira no mês de março, o desempenho de Santa Catarina é </w:t>
      </w:r>
      <w:r w:rsidR="005E611F">
        <w:rPr>
          <w:rFonts w:ascii="Arial Narrow" w:eastAsiaTheme="minorEastAsia" w:hAnsi="Arial Narrow" w:cs="Arial"/>
          <w:color w:val="auto"/>
          <w:lang w:val="pt-BR"/>
        </w:rPr>
        <w:t>13,2</w:t>
      </w:r>
      <w:r w:rsidRPr="003E2BE1">
        <w:rPr>
          <w:rFonts w:ascii="Arial Narrow" w:eastAsiaTheme="minorEastAsia" w:hAnsi="Arial Narrow" w:cs="Arial"/>
          <w:color w:val="auto"/>
          <w:lang w:val="pt-BR"/>
        </w:rPr>
        <w:t xml:space="preserve"> </w:t>
      </w:r>
      <w:proofErr w:type="spellStart"/>
      <w:r w:rsidRPr="003E2BE1">
        <w:rPr>
          <w:rFonts w:ascii="Arial Narrow" w:eastAsiaTheme="minorEastAsia" w:hAnsi="Arial Narrow" w:cs="Arial"/>
          <w:color w:val="auto"/>
          <w:lang w:val="pt-BR"/>
        </w:rPr>
        <w:t>p.p</w:t>
      </w:r>
      <w:proofErr w:type="spellEnd"/>
      <w:r w:rsidRPr="003E2BE1">
        <w:rPr>
          <w:rFonts w:ascii="Arial Narrow" w:eastAsiaTheme="minorEastAsia" w:hAnsi="Arial Narrow" w:cs="Arial"/>
          <w:color w:val="auto"/>
          <w:lang w:val="pt-BR"/>
        </w:rPr>
        <w:t>. superior, conforme as flutuações do índice de base fixa (média de 2012)</w:t>
      </w:r>
      <w:r w:rsidRPr="003E2BE1">
        <w:rPr>
          <w:rFonts w:ascii="Arial Narrow" w:eastAsiaTheme="minorEastAsia" w:hAnsi="Arial Narrow" w:cs="Arial"/>
          <w:color w:val="auto"/>
          <w:lang w:val="pt-BR"/>
        </w:rPr>
        <w:tab/>
      </w:r>
      <w:r w:rsidRPr="003E2BE1">
        <w:rPr>
          <w:rFonts w:ascii="Arial Narrow" w:eastAsiaTheme="minorEastAsia" w:hAnsi="Arial Narrow" w:cs="Arial"/>
          <w:color w:val="auto"/>
          <w:lang w:val="pt-BR"/>
        </w:rPr>
        <w:tab/>
      </w:r>
      <w:r w:rsidRPr="003E2BE1">
        <w:rPr>
          <w:rFonts w:ascii="Arial Narrow" w:eastAsiaTheme="minorEastAsia" w:hAnsi="Arial Narrow" w:cs="Arial"/>
          <w:color w:val="auto"/>
          <w:lang w:val="pt-BR"/>
        </w:rPr>
        <w:tab/>
      </w:r>
      <w:r w:rsidRPr="003E2BE1">
        <w:rPr>
          <w:rFonts w:ascii="Arial Narrow" w:eastAsiaTheme="minorEastAsia" w:hAnsi="Arial Narrow" w:cs="Arial"/>
          <w:color w:val="auto"/>
          <w:lang w:val="pt-BR"/>
        </w:rPr>
        <w:tab/>
      </w:r>
      <w:r w:rsidR="00236074" w:rsidRPr="00236074">
        <w:rPr>
          <w:rFonts w:ascii="Arial Narrow" w:eastAsiaTheme="minorEastAsia" w:hAnsi="Arial Narrow" w:cs="Arial"/>
          <w:color w:val="auto"/>
          <w:lang w:val="pt-BR"/>
        </w:rPr>
        <w:tab/>
      </w:r>
      <w:r w:rsidR="005A5124" w:rsidRPr="005A5124">
        <w:rPr>
          <w:rFonts w:ascii="Arial Narrow" w:eastAsiaTheme="minorEastAsia" w:hAnsi="Arial Narrow" w:cs="Arial"/>
          <w:color w:val="auto"/>
          <w:lang w:val="pt-BR"/>
        </w:rPr>
        <w:tab/>
      </w:r>
      <w:r w:rsidR="005A5124" w:rsidRPr="005A5124">
        <w:rPr>
          <w:rFonts w:ascii="Arial Narrow" w:eastAsiaTheme="minorEastAsia" w:hAnsi="Arial Narrow" w:cs="Arial"/>
          <w:color w:val="auto"/>
          <w:lang w:val="pt-BR"/>
        </w:rPr>
        <w:tab/>
      </w:r>
      <w:r w:rsidR="005A5124" w:rsidRPr="005A5124">
        <w:rPr>
          <w:rFonts w:ascii="Arial Narrow" w:eastAsiaTheme="minorEastAsia" w:hAnsi="Arial Narrow" w:cs="Arial"/>
          <w:color w:val="auto"/>
          <w:lang w:val="pt-BR"/>
        </w:rPr>
        <w:tab/>
      </w:r>
      <w:r w:rsidR="006C57DD" w:rsidRPr="006C57DD">
        <w:rPr>
          <w:rFonts w:ascii="Arial Narrow" w:hAnsi="Arial Narrow" w:cs="Arial"/>
          <w:lang w:val="pt-BR"/>
        </w:rPr>
        <w:tab/>
      </w:r>
      <w:r w:rsidR="006C57DD" w:rsidRPr="006C57DD">
        <w:rPr>
          <w:rFonts w:ascii="Arial Narrow" w:hAnsi="Arial Narrow" w:cs="Arial"/>
          <w:lang w:val="pt-BR"/>
        </w:rPr>
        <w:tab/>
      </w:r>
      <w:r w:rsidR="00673028" w:rsidRPr="00673028">
        <w:rPr>
          <w:rFonts w:ascii="Arial Narrow" w:hAnsi="Arial Narrow" w:cs="Arial"/>
          <w:lang w:val="pt-BR"/>
        </w:rPr>
        <w:tab/>
      </w:r>
      <w:r w:rsidR="00673028" w:rsidRPr="00673028">
        <w:rPr>
          <w:rFonts w:ascii="Arial Narrow" w:hAnsi="Arial Narrow" w:cs="Arial"/>
          <w:lang w:val="pt-BR"/>
        </w:rPr>
        <w:tab/>
      </w:r>
      <w:r w:rsidR="00673028" w:rsidRPr="00673028">
        <w:rPr>
          <w:rFonts w:ascii="Arial Narrow" w:hAnsi="Arial Narrow" w:cs="Arial"/>
          <w:lang w:val="pt-BR"/>
        </w:rPr>
        <w:tab/>
      </w:r>
    </w:p>
    <w:p w14:paraId="3925FDAA" w14:textId="6619A677" w:rsidR="009311ED" w:rsidRDefault="009311ED" w:rsidP="00562F99">
      <w:pPr>
        <w:pStyle w:val="BasicParagraph"/>
        <w:spacing w:line="360" w:lineRule="auto"/>
        <w:ind w:left="-284"/>
        <w:jc w:val="both"/>
        <w:outlineLvl w:val="0"/>
        <w:rPr>
          <w:rFonts w:ascii="Arial Narrow" w:hAnsi="Arial Narrow" w:cs="Arial"/>
          <w:b/>
          <w:color w:val="595959" w:themeColor="text1" w:themeTint="A6"/>
          <w:lang w:val="pt-BR"/>
        </w:rPr>
      </w:pPr>
      <w:r w:rsidRPr="0065307D">
        <w:rPr>
          <w:rFonts w:ascii="Arial Narrow" w:hAnsi="Arial Narrow" w:cs="Arial"/>
          <w:b/>
          <w:color w:val="595959" w:themeColor="text1" w:themeTint="A6"/>
          <w:lang w:val="pt-BR"/>
        </w:rPr>
        <w:t>Índice de base fixa da produção industrial (média de 2012=100)</w:t>
      </w:r>
    </w:p>
    <w:p w14:paraId="0113FDF9" w14:textId="2689DA63" w:rsidR="00480DF3" w:rsidRPr="00562F99" w:rsidRDefault="003B1AE4" w:rsidP="00562F99">
      <w:pPr>
        <w:pStyle w:val="BasicParagraph"/>
        <w:spacing w:line="360" w:lineRule="auto"/>
        <w:ind w:left="-284"/>
        <w:jc w:val="both"/>
        <w:outlineLvl w:val="0"/>
        <w:rPr>
          <w:rFonts w:ascii="Arial Narrow" w:eastAsiaTheme="minorEastAsia" w:hAnsi="Arial Narrow" w:cs="Arial"/>
          <w:color w:val="auto"/>
          <w:lang w:val="pt-BR"/>
        </w:rPr>
      </w:pPr>
      <w:r>
        <w:rPr>
          <w:noProof/>
          <w:lang w:eastAsia="pt-BR"/>
        </w:rPr>
        <w:drawing>
          <wp:inline distT="0" distB="0" distL="0" distR="0" wp14:anchorId="118BCFD3" wp14:editId="63ACBC14">
            <wp:extent cx="5705475" cy="2778125"/>
            <wp:effectExtent l="0" t="0" r="0" b="317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E1D803" w14:textId="05DF913C" w:rsidR="009311ED" w:rsidRPr="001F0301" w:rsidRDefault="009311ED" w:rsidP="009311ED">
      <w:pPr>
        <w:spacing w:line="360" w:lineRule="auto"/>
        <w:rPr>
          <w:rFonts w:ascii="Arial Narrow" w:hAnsi="Arial Narrow" w:cs="Arial"/>
          <w:sz w:val="20"/>
        </w:rPr>
      </w:pPr>
      <w:r w:rsidRPr="001F0301">
        <w:rPr>
          <w:rFonts w:ascii="Arial Narrow" w:hAnsi="Arial Narrow" w:cs="Arial"/>
          <w:sz w:val="20"/>
        </w:rPr>
        <w:t>Fonte: IBGE/Observatório FIESC.</w:t>
      </w:r>
    </w:p>
    <w:p w14:paraId="79995144" w14:textId="77777777" w:rsidR="00562F99" w:rsidRDefault="00562F99" w:rsidP="00562F99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7B81EAF7" w14:textId="0C0FA527" w:rsidR="00D234F9" w:rsidRDefault="005E611F" w:rsidP="00600D37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5E611F">
        <w:rPr>
          <w:rFonts w:ascii="Arial Narrow" w:hAnsi="Arial Narrow"/>
          <w:color w:val="000000" w:themeColor="text1"/>
        </w:rPr>
        <w:t>Na comparação com março de 201</w:t>
      </w:r>
      <w:r w:rsidR="00445574">
        <w:rPr>
          <w:rFonts w:ascii="Arial Narrow" w:hAnsi="Arial Narrow"/>
          <w:color w:val="000000" w:themeColor="text1"/>
        </w:rPr>
        <w:t>8</w:t>
      </w:r>
      <w:r w:rsidRPr="005E611F">
        <w:rPr>
          <w:rFonts w:ascii="Arial Narrow" w:hAnsi="Arial Narrow"/>
          <w:color w:val="000000" w:themeColor="text1"/>
        </w:rPr>
        <w:t>, a produção industrial catarinense avançou 3%, valor acima da média nacional (-6,1%). Esse desempenho coloca Santa Catarina no 2º lugar nacional, atrás apenas de Rio Grande do Sul, que cresceu 3,4%</w:t>
      </w:r>
      <w:r w:rsidR="00445574">
        <w:rPr>
          <w:rFonts w:ascii="Arial Narrow" w:hAnsi="Arial Narrow"/>
          <w:color w:val="000000" w:themeColor="text1"/>
        </w:rPr>
        <w:t>.</w:t>
      </w:r>
      <w:r w:rsidRPr="005E611F">
        <w:rPr>
          <w:rFonts w:ascii="Arial Narrow" w:hAnsi="Arial Narrow"/>
          <w:color w:val="000000" w:themeColor="text1"/>
        </w:rPr>
        <w:t xml:space="preserve"> </w:t>
      </w:r>
      <w:r w:rsidR="00445574">
        <w:rPr>
          <w:rFonts w:ascii="Arial Narrow" w:hAnsi="Arial Narrow"/>
          <w:color w:val="000000" w:themeColor="text1"/>
        </w:rPr>
        <w:t xml:space="preserve">O Paraná ocupa a terceira posição desse ranking, com crescimento de 2,4% no período. Com esses resultados, a região Sul do Brasil foi a única que registrou crescimento da produção industrial nesse comparativo. </w:t>
      </w:r>
      <w:r w:rsidRPr="005E611F">
        <w:rPr>
          <w:rFonts w:ascii="Arial Narrow" w:hAnsi="Arial Narrow"/>
          <w:color w:val="000000" w:themeColor="text1"/>
        </w:rPr>
        <w:t>Os estados que registraram maiores recu</w:t>
      </w:r>
      <w:r w:rsidR="00445574">
        <w:rPr>
          <w:rFonts w:ascii="Arial Narrow" w:hAnsi="Arial Narrow"/>
          <w:color w:val="000000" w:themeColor="text1"/>
        </w:rPr>
        <w:t xml:space="preserve">os na produção industrial </w:t>
      </w:r>
      <w:r w:rsidRPr="005E611F">
        <w:rPr>
          <w:rFonts w:ascii="Arial Narrow" w:hAnsi="Arial Narrow"/>
          <w:color w:val="000000" w:themeColor="text1"/>
        </w:rPr>
        <w:t xml:space="preserve">foram Pará </w:t>
      </w:r>
      <w:r w:rsidR="00445574">
        <w:rPr>
          <w:rFonts w:ascii="Arial Narrow" w:hAnsi="Arial Narrow"/>
          <w:color w:val="000000" w:themeColor="text1"/>
        </w:rPr>
        <w:t>(-12,5%) e Mato Grosso (-12,3%) e Espírito Santo (-11,1%).</w:t>
      </w:r>
      <w:r w:rsidRPr="005E611F">
        <w:rPr>
          <w:rFonts w:ascii="Arial Narrow" w:hAnsi="Arial Narrow"/>
          <w:color w:val="000000" w:themeColor="text1"/>
        </w:rPr>
        <w:tab/>
      </w:r>
      <w:r w:rsidRPr="005E611F">
        <w:rPr>
          <w:rFonts w:ascii="Arial Narrow" w:hAnsi="Arial Narrow"/>
          <w:color w:val="000000" w:themeColor="text1"/>
        </w:rPr>
        <w:tab/>
      </w:r>
      <w:r w:rsidRPr="005E611F">
        <w:rPr>
          <w:rFonts w:ascii="Arial Narrow" w:hAnsi="Arial Narrow"/>
          <w:color w:val="000000" w:themeColor="text1"/>
        </w:rPr>
        <w:tab/>
      </w:r>
      <w:r w:rsidRPr="005E611F">
        <w:rPr>
          <w:rFonts w:ascii="Arial Narrow" w:hAnsi="Arial Narrow"/>
          <w:color w:val="000000" w:themeColor="text1"/>
        </w:rPr>
        <w:tab/>
      </w:r>
      <w:r w:rsidR="004D3B12" w:rsidRPr="004D3B12">
        <w:rPr>
          <w:rFonts w:ascii="Arial Narrow" w:hAnsi="Arial Narrow"/>
          <w:color w:val="000000" w:themeColor="text1"/>
        </w:rPr>
        <w:tab/>
      </w:r>
      <w:r w:rsidR="004D3B12" w:rsidRPr="004D3B12">
        <w:rPr>
          <w:rFonts w:ascii="Arial Narrow" w:hAnsi="Arial Narrow"/>
          <w:color w:val="000000" w:themeColor="text1"/>
        </w:rPr>
        <w:tab/>
      </w:r>
      <w:r w:rsidR="004D3B12" w:rsidRPr="004D3B12">
        <w:rPr>
          <w:rFonts w:ascii="Arial Narrow" w:hAnsi="Arial Narrow"/>
          <w:color w:val="000000" w:themeColor="text1"/>
        </w:rPr>
        <w:tab/>
      </w:r>
      <w:r w:rsidR="004D3B12" w:rsidRPr="004D3B12">
        <w:rPr>
          <w:rFonts w:ascii="Arial Narrow" w:hAnsi="Arial Narrow"/>
          <w:color w:val="000000" w:themeColor="text1"/>
        </w:rPr>
        <w:tab/>
      </w:r>
    </w:p>
    <w:p w14:paraId="22A0F4C0" w14:textId="13DA3069" w:rsidR="00600D37" w:rsidRDefault="00600D37" w:rsidP="00600D37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347FEAA3" w14:textId="77777777" w:rsidR="00600D37" w:rsidRDefault="00600D37" w:rsidP="00600D37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1B968856" w14:textId="3B6DEEB0" w:rsidR="00562F99" w:rsidRDefault="00562F99" w:rsidP="00562F99">
      <w:pPr>
        <w:spacing w:line="360" w:lineRule="auto"/>
        <w:jc w:val="both"/>
        <w:rPr>
          <w:rFonts w:ascii="Arial Narrow" w:hAnsi="Arial Narrow" w:cs="Arial"/>
          <w:b/>
          <w:color w:val="595959" w:themeColor="text1" w:themeTint="A6"/>
        </w:rPr>
      </w:pPr>
    </w:p>
    <w:p w14:paraId="309D2790" w14:textId="06364019" w:rsidR="007D7076" w:rsidRDefault="00F234C5" w:rsidP="004D3B12">
      <w:pPr>
        <w:spacing w:line="360" w:lineRule="auto"/>
        <w:jc w:val="center"/>
        <w:rPr>
          <w:noProof/>
        </w:rPr>
      </w:pPr>
      <w:r w:rsidRPr="00204F8B">
        <w:rPr>
          <w:rFonts w:ascii="Arial Narrow" w:hAnsi="Arial Narrow" w:cs="Arial"/>
          <w:b/>
          <w:color w:val="595959" w:themeColor="text1" w:themeTint="A6"/>
        </w:rPr>
        <w:t>Var</w:t>
      </w:r>
      <w:r>
        <w:rPr>
          <w:rFonts w:ascii="Arial Narrow" w:hAnsi="Arial Narrow" w:cs="Arial"/>
          <w:b/>
          <w:color w:val="595959" w:themeColor="text1" w:themeTint="A6"/>
        </w:rPr>
        <w:t>.</w:t>
      </w:r>
      <w:r w:rsidRPr="00204F8B">
        <w:rPr>
          <w:rFonts w:ascii="Arial Narrow" w:hAnsi="Arial Narrow" w:cs="Arial"/>
          <w:b/>
          <w:color w:val="595959" w:themeColor="text1" w:themeTint="A6"/>
        </w:rPr>
        <w:t xml:space="preserve"> % da Produção Industrial nas UFs </w:t>
      </w:r>
      <w:r w:rsidR="005D1D9C">
        <w:rPr>
          <w:rFonts w:ascii="Arial Narrow" w:hAnsi="Arial Narrow" w:cs="Arial"/>
          <w:b/>
          <w:color w:val="595959" w:themeColor="text1" w:themeTint="A6"/>
        </w:rPr>
        <w:t>no ano</w:t>
      </w:r>
      <w:r w:rsidR="004D3B12" w:rsidRPr="004D3B12">
        <w:rPr>
          <w:noProof/>
        </w:rPr>
        <w:t xml:space="preserve"> </w:t>
      </w:r>
    </w:p>
    <w:p w14:paraId="7CCEF7A8" w14:textId="6A45BB8C" w:rsidR="004D3B12" w:rsidRDefault="00E406B0" w:rsidP="004D3B12">
      <w:pPr>
        <w:spacing w:line="360" w:lineRule="auto"/>
        <w:jc w:val="center"/>
        <w:rPr>
          <w:rFonts w:ascii="Arial Narrow" w:hAnsi="Arial Narrow" w:cs="Arial"/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68E3B" wp14:editId="07BC5BC7">
                <wp:simplePos x="0" y="0"/>
                <wp:positionH relativeFrom="column">
                  <wp:posOffset>981075</wp:posOffset>
                </wp:positionH>
                <wp:positionV relativeFrom="paragraph">
                  <wp:posOffset>318135</wp:posOffset>
                </wp:positionV>
                <wp:extent cx="352425" cy="2505075"/>
                <wp:effectExtent l="57150" t="19050" r="85725" b="1047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05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618EE" id="Retângulo 13" o:spid="_x0000_s1026" style="position:absolute;margin-left:77.25pt;margin-top:25.05pt;width:27.75pt;height:1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5715198" wp14:editId="176D95F3">
            <wp:extent cx="5591175" cy="3133725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2CD4B6" w14:textId="1E72AE80" w:rsidR="009311ED" w:rsidRDefault="00204F8B" w:rsidP="00600810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1F0301">
        <w:rPr>
          <w:rFonts w:ascii="Arial Narrow" w:hAnsi="Arial Narrow" w:cs="Arial"/>
          <w:sz w:val="20"/>
        </w:rPr>
        <w:t>Fonte: IBGE/Observatório FIESC.</w:t>
      </w:r>
      <w:r w:rsidRPr="001F0301">
        <w:rPr>
          <w:rFonts w:ascii="Arial Narrow" w:hAnsi="Arial Narrow"/>
          <w:color w:val="000000" w:themeColor="text1"/>
        </w:rPr>
        <w:tab/>
      </w:r>
      <w:r w:rsidR="00815698" w:rsidRPr="00815698">
        <w:rPr>
          <w:rFonts w:ascii="Arial Narrow" w:hAnsi="Arial Narrow"/>
          <w:color w:val="000000" w:themeColor="text1"/>
        </w:rPr>
        <w:tab/>
      </w:r>
      <w:r w:rsidR="00815698" w:rsidRPr="00815698">
        <w:rPr>
          <w:rFonts w:ascii="Arial Narrow" w:hAnsi="Arial Narrow"/>
          <w:color w:val="000000" w:themeColor="text1"/>
        </w:rPr>
        <w:tab/>
      </w:r>
      <w:r w:rsidR="00815698" w:rsidRPr="00815698">
        <w:rPr>
          <w:rFonts w:ascii="Arial Narrow" w:hAnsi="Arial Narrow"/>
          <w:color w:val="000000" w:themeColor="text1"/>
        </w:rPr>
        <w:tab/>
      </w:r>
      <w:r w:rsidR="00815698" w:rsidRPr="00815698">
        <w:rPr>
          <w:rFonts w:ascii="Arial Narrow" w:hAnsi="Arial Narrow"/>
          <w:color w:val="000000" w:themeColor="text1"/>
        </w:rPr>
        <w:tab/>
      </w:r>
      <w:r w:rsidR="00815698" w:rsidRPr="00815698">
        <w:rPr>
          <w:rFonts w:ascii="Arial Narrow" w:hAnsi="Arial Narrow"/>
          <w:color w:val="000000" w:themeColor="text1"/>
        </w:rPr>
        <w:tab/>
      </w:r>
      <w:r w:rsidR="00600810">
        <w:rPr>
          <w:rFonts w:ascii="Arial Narrow" w:hAnsi="Arial Narrow"/>
          <w:color w:val="000000" w:themeColor="text1"/>
        </w:rPr>
        <w:tab/>
      </w:r>
      <w:r w:rsidR="00600810">
        <w:rPr>
          <w:rFonts w:ascii="Arial Narrow" w:hAnsi="Arial Narrow"/>
          <w:color w:val="000000" w:themeColor="text1"/>
        </w:rPr>
        <w:tab/>
      </w:r>
    </w:p>
    <w:p w14:paraId="0261A8FD" w14:textId="5F4266A6" w:rsidR="00600810" w:rsidRPr="001F0301" w:rsidRDefault="00600D37" w:rsidP="00600810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70E4E" wp14:editId="44E95020">
                <wp:simplePos x="0" y="0"/>
                <wp:positionH relativeFrom="column">
                  <wp:posOffset>6448425</wp:posOffset>
                </wp:positionH>
                <wp:positionV relativeFrom="paragraph">
                  <wp:posOffset>368935</wp:posOffset>
                </wp:positionV>
                <wp:extent cx="314325" cy="1981200"/>
                <wp:effectExtent l="38100" t="19050" r="85725" b="952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812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97DE65" id="Retângulo 4" o:spid="_x0000_s1026" style="position:absolute;margin-left:507.75pt;margin-top:29.05pt;width:24.7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" filled="f" strokecolor="#4579b8 [3044]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41B17872" w14:textId="77777777" w:rsidR="00E3287D" w:rsidRDefault="00445574" w:rsidP="00E3287D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445574">
        <w:rPr>
          <w:rFonts w:ascii="Arial Narrow" w:hAnsi="Arial Narrow"/>
          <w:color w:val="000000" w:themeColor="text1"/>
        </w:rPr>
        <w:t xml:space="preserve">No acumulado do ano, em relação ao mesmo período do ano anterior, </w:t>
      </w:r>
      <w:r>
        <w:rPr>
          <w:rFonts w:ascii="Arial Narrow" w:hAnsi="Arial Narrow"/>
          <w:color w:val="000000" w:themeColor="text1"/>
        </w:rPr>
        <w:t xml:space="preserve">a produção industrial catarinense cresceu 2,8%. </w:t>
      </w:r>
      <w:r w:rsidRPr="00445574">
        <w:rPr>
          <w:rFonts w:ascii="Arial Narrow" w:hAnsi="Arial Narrow"/>
          <w:color w:val="000000" w:themeColor="text1"/>
        </w:rPr>
        <w:t>Nesse comparativo, Santa Catarina está atrás do estado do Paraná (7,8%)</w:t>
      </w:r>
      <w:r>
        <w:rPr>
          <w:rFonts w:ascii="Arial Narrow" w:hAnsi="Arial Narrow"/>
          <w:color w:val="000000" w:themeColor="text1"/>
        </w:rPr>
        <w:t xml:space="preserve"> e do Rio Grande do Sul </w:t>
      </w:r>
      <w:r w:rsidRPr="00445574">
        <w:rPr>
          <w:rFonts w:ascii="Arial Narrow" w:hAnsi="Arial Narrow"/>
          <w:color w:val="000000" w:themeColor="text1"/>
        </w:rPr>
        <w:t>(5,5%)</w:t>
      </w:r>
      <w:r>
        <w:rPr>
          <w:rFonts w:ascii="Arial Narrow" w:hAnsi="Arial Narrow"/>
          <w:color w:val="000000" w:themeColor="text1"/>
        </w:rPr>
        <w:t xml:space="preserve">. </w:t>
      </w:r>
      <w:r w:rsidRPr="00445574">
        <w:rPr>
          <w:rFonts w:ascii="Arial Narrow" w:hAnsi="Arial Narrow"/>
          <w:color w:val="000000" w:themeColor="text1"/>
        </w:rPr>
        <w:t xml:space="preserve">Do lado oposto, </w:t>
      </w:r>
      <w:r>
        <w:rPr>
          <w:rFonts w:ascii="Arial Narrow" w:hAnsi="Arial Narrow"/>
          <w:color w:val="000000" w:themeColor="text1"/>
        </w:rPr>
        <w:t xml:space="preserve">o Espírito Santo (-8,5%), Amazonas </w:t>
      </w:r>
      <w:r w:rsidRPr="00445574">
        <w:rPr>
          <w:rFonts w:ascii="Arial Narrow" w:hAnsi="Arial Narrow"/>
          <w:color w:val="000000" w:themeColor="text1"/>
        </w:rPr>
        <w:t xml:space="preserve">(-5,1%) </w:t>
      </w:r>
      <w:r>
        <w:rPr>
          <w:rFonts w:ascii="Arial Narrow" w:hAnsi="Arial Narrow"/>
          <w:color w:val="000000" w:themeColor="text1"/>
        </w:rPr>
        <w:t>e Mato Grosso</w:t>
      </w:r>
      <w:r w:rsidR="00E3287D">
        <w:rPr>
          <w:rFonts w:ascii="Arial Narrow" w:hAnsi="Arial Narrow"/>
          <w:color w:val="000000" w:themeColor="text1"/>
        </w:rPr>
        <w:t xml:space="preserve"> (-5,0%) registraram os maiores recuos na produção industrial.</w:t>
      </w:r>
      <w:r w:rsidR="00E3287D">
        <w:rPr>
          <w:rFonts w:ascii="Arial Narrow" w:hAnsi="Arial Narrow"/>
          <w:color w:val="000000" w:themeColor="text1"/>
        </w:rPr>
        <w:tab/>
      </w:r>
    </w:p>
    <w:p w14:paraId="322D5FDC" w14:textId="1AB84067" w:rsidR="00E3287D" w:rsidRPr="00E3287D" w:rsidRDefault="00E3287D" w:rsidP="00E3287D">
      <w:pPr>
        <w:spacing w:line="360" w:lineRule="auto"/>
        <w:ind w:firstLine="720"/>
        <w:jc w:val="both"/>
        <w:rPr>
          <w:rFonts w:ascii="Arial Narrow" w:hAnsi="Arial Narrow"/>
          <w:color w:val="000000" w:themeColor="text1"/>
        </w:rPr>
      </w:pPr>
      <w:r w:rsidRPr="00E3287D">
        <w:rPr>
          <w:rFonts w:ascii="Arial Narrow" w:hAnsi="Arial Narrow"/>
          <w:color w:val="000000" w:themeColor="text1"/>
        </w:rPr>
        <w:t xml:space="preserve">Analisando </w:t>
      </w:r>
      <w:r>
        <w:rPr>
          <w:rFonts w:ascii="Arial Narrow" w:hAnsi="Arial Narrow"/>
          <w:color w:val="000000" w:themeColor="text1"/>
        </w:rPr>
        <w:t>separadamente</w:t>
      </w:r>
      <w:r w:rsidRPr="00E3287D">
        <w:rPr>
          <w:rFonts w:ascii="Arial Narrow" w:hAnsi="Arial Narrow"/>
          <w:color w:val="000000" w:themeColor="text1"/>
        </w:rPr>
        <w:t xml:space="preserve"> a indústr</w:t>
      </w:r>
      <w:r>
        <w:rPr>
          <w:rFonts w:ascii="Arial Narrow" w:hAnsi="Arial Narrow"/>
          <w:color w:val="000000" w:themeColor="text1"/>
        </w:rPr>
        <w:t>ia de transformação,</w:t>
      </w:r>
      <w:r w:rsidRPr="00E3287D">
        <w:rPr>
          <w:rFonts w:ascii="Arial Narrow" w:hAnsi="Arial Narrow"/>
          <w:color w:val="000000" w:themeColor="text1"/>
        </w:rPr>
        <w:t xml:space="preserve"> o desempenho acumulado coloca Santa Catarina no 4º lugar no ranking da produção industrial por UF, atrás do Paraná (7,8%</w:t>
      </w:r>
      <w:r>
        <w:rPr>
          <w:rFonts w:ascii="Arial Narrow" w:hAnsi="Arial Narrow"/>
          <w:color w:val="000000" w:themeColor="text1"/>
        </w:rPr>
        <w:t>) e de Rio Grande do Sul (5,5%) e Goiás (3,3%). O desempenho do Paraná foi influenciado pelo resultado positivo da fabricação de máquinas e equipamentos (18,5%).</w:t>
      </w:r>
      <w:r w:rsidRPr="00E3287D">
        <w:rPr>
          <w:rFonts w:ascii="Arial Narrow" w:hAnsi="Arial Narrow"/>
          <w:color w:val="000000" w:themeColor="text1"/>
        </w:rPr>
        <w:t xml:space="preserve"> Os estados d</w:t>
      </w:r>
      <w:r>
        <w:rPr>
          <w:rFonts w:ascii="Arial Narrow" w:hAnsi="Arial Narrow"/>
          <w:color w:val="000000" w:themeColor="text1"/>
        </w:rPr>
        <w:t>o</w:t>
      </w:r>
      <w:r w:rsidRPr="00E3287D">
        <w:rPr>
          <w:rFonts w:ascii="Arial Narrow" w:hAnsi="Arial Narrow"/>
          <w:color w:val="000000" w:themeColor="text1"/>
        </w:rPr>
        <w:t xml:space="preserve"> Pará (-8,9%) e Espírito Santo (-7%) registraram recuo na produção industrial nesse comparativo, resultado do desempenho dos setores de </w:t>
      </w:r>
      <w:r>
        <w:rPr>
          <w:rFonts w:ascii="Arial Narrow" w:hAnsi="Arial Narrow"/>
          <w:color w:val="000000" w:themeColor="text1"/>
        </w:rPr>
        <w:t>metalurgia</w:t>
      </w:r>
      <w:r w:rsidRPr="00E3287D">
        <w:rPr>
          <w:rFonts w:ascii="Arial Narrow" w:hAnsi="Arial Narrow"/>
          <w:color w:val="000000" w:themeColor="text1"/>
        </w:rPr>
        <w:t xml:space="preserve">, </w:t>
      </w:r>
      <w:r>
        <w:rPr>
          <w:rFonts w:ascii="Arial Narrow" w:hAnsi="Arial Narrow"/>
          <w:color w:val="000000" w:themeColor="text1"/>
        </w:rPr>
        <w:t xml:space="preserve">que caiu 32,4% </w:t>
      </w:r>
      <w:r w:rsidRPr="00E3287D">
        <w:rPr>
          <w:rFonts w:ascii="Arial Narrow" w:hAnsi="Arial Narrow"/>
          <w:color w:val="000000" w:themeColor="text1"/>
        </w:rPr>
        <w:t xml:space="preserve">na indústria </w:t>
      </w:r>
      <w:r>
        <w:rPr>
          <w:rFonts w:ascii="Arial Narrow" w:hAnsi="Arial Narrow"/>
          <w:color w:val="000000" w:themeColor="text1"/>
        </w:rPr>
        <w:t>Paraense</w:t>
      </w:r>
      <w:r w:rsidRPr="00E3287D">
        <w:rPr>
          <w:rFonts w:ascii="Arial Narrow" w:hAnsi="Arial Narrow"/>
          <w:color w:val="000000" w:themeColor="text1"/>
        </w:rPr>
        <w:t xml:space="preserve">, e do setor de </w:t>
      </w:r>
      <w:r>
        <w:rPr>
          <w:rFonts w:ascii="Arial Narrow" w:hAnsi="Arial Narrow"/>
          <w:color w:val="000000" w:themeColor="text1"/>
        </w:rPr>
        <w:t>Celulose e Papel</w:t>
      </w:r>
      <w:r w:rsidRPr="00E3287D">
        <w:rPr>
          <w:rFonts w:ascii="Arial Narrow" w:hAnsi="Arial Narrow"/>
          <w:color w:val="000000" w:themeColor="text1"/>
        </w:rPr>
        <w:t xml:space="preserve">, </w:t>
      </w:r>
      <w:r>
        <w:rPr>
          <w:rFonts w:ascii="Arial Narrow" w:hAnsi="Arial Narrow"/>
          <w:color w:val="000000" w:themeColor="text1"/>
        </w:rPr>
        <w:t xml:space="preserve">que caiu 32,2% </w:t>
      </w:r>
      <w:r w:rsidRPr="00E3287D">
        <w:rPr>
          <w:rFonts w:ascii="Arial Narrow" w:hAnsi="Arial Narrow"/>
          <w:color w:val="000000" w:themeColor="text1"/>
        </w:rPr>
        <w:t xml:space="preserve">na indústria </w:t>
      </w:r>
      <w:r>
        <w:rPr>
          <w:rFonts w:ascii="Arial Narrow" w:hAnsi="Arial Narrow"/>
          <w:color w:val="000000" w:themeColor="text1"/>
        </w:rPr>
        <w:t>capixaba</w:t>
      </w:r>
      <w:r w:rsidRPr="00E3287D">
        <w:rPr>
          <w:rFonts w:ascii="Arial Narrow" w:hAnsi="Arial Narrow"/>
          <w:color w:val="000000" w:themeColor="text1"/>
        </w:rPr>
        <w:t>. Na indústria catarinense, o resultado do ano é puxado pelas atividades de Máquinas e equipamentos (1</w:t>
      </w:r>
      <w:r>
        <w:rPr>
          <w:rFonts w:ascii="Arial Narrow" w:hAnsi="Arial Narrow"/>
          <w:color w:val="000000" w:themeColor="text1"/>
        </w:rPr>
        <w:t>4,5</w:t>
      </w:r>
      <w:r w:rsidRPr="00E3287D">
        <w:rPr>
          <w:rFonts w:ascii="Arial Narrow" w:hAnsi="Arial Narrow"/>
          <w:color w:val="000000" w:themeColor="text1"/>
        </w:rPr>
        <w:t>%) e Máquinas, aparelhos e materiais elétricos (9,</w:t>
      </w:r>
      <w:r>
        <w:rPr>
          <w:rFonts w:ascii="Arial Narrow" w:hAnsi="Arial Narrow"/>
          <w:color w:val="000000" w:themeColor="text1"/>
        </w:rPr>
        <w:t>9</w:t>
      </w:r>
      <w:r w:rsidRPr="00E3287D">
        <w:rPr>
          <w:rFonts w:ascii="Arial Narrow" w:hAnsi="Arial Narrow"/>
          <w:color w:val="000000" w:themeColor="text1"/>
        </w:rPr>
        <w:t>%).</w:t>
      </w:r>
      <w:r>
        <w:rPr>
          <w:rFonts w:ascii="Arial Narrow" w:hAnsi="Arial Narrow"/>
          <w:color w:val="000000" w:themeColor="text1"/>
        </w:rPr>
        <w:t xml:space="preserve"> Do lado oposto, registraram queda na produção industrial os setores de borracha e material plástico (-2,6%), têxteis (-1,6%), </w:t>
      </w:r>
      <w:r w:rsidR="005F4DD7">
        <w:rPr>
          <w:rFonts w:ascii="Arial Narrow" w:hAnsi="Arial Narrow"/>
          <w:color w:val="000000" w:themeColor="text1"/>
        </w:rPr>
        <w:t xml:space="preserve">confecção (-0,8%) e alimentos (-0,7%). </w:t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</w:p>
    <w:p w14:paraId="11C33D8A" w14:textId="77777777" w:rsidR="00E3287D" w:rsidRPr="00E3287D" w:rsidRDefault="00E3287D" w:rsidP="00E3287D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</w:p>
    <w:p w14:paraId="0A1C8D9C" w14:textId="77777777" w:rsidR="00E3287D" w:rsidRPr="00E3287D" w:rsidRDefault="00E3287D" w:rsidP="00E3287D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</w:p>
    <w:p w14:paraId="04714F2D" w14:textId="044F0C7E" w:rsidR="00E3287D" w:rsidRPr="00E3287D" w:rsidRDefault="00E3287D" w:rsidP="00E3287D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  <w:r w:rsidRPr="00E3287D">
        <w:rPr>
          <w:rFonts w:ascii="Arial Narrow" w:hAnsi="Arial Narrow"/>
          <w:color w:val="000000" w:themeColor="text1"/>
        </w:rPr>
        <w:tab/>
      </w:r>
    </w:p>
    <w:p w14:paraId="7DA4A430" w14:textId="5FFC7E1B" w:rsidR="009311ED" w:rsidRDefault="009311ED" w:rsidP="00081838">
      <w:pPr>
        <w:spacing w:line="360" w:lineRule="auto"/>
        <w:jc w:val="center"/>
        <w:rPr>
          <w:rFonts w:ascii="Arial Narrow" w:hAnsi="Arial Narrow" w:cs="Arial"/>
          <w:b/>
          <w:color w:val="595959" w:themeColor="text1" w:themeTint="A6"/>
        </w:rPr>
      </w:pPr>
      <w:r w:rsidRPr="0008168A">
        <w:rPr>
          <w:rFonts w:ascii="Arial Narrow" w:hAnsi="Arial Narrow" w:cs="Arial"/>
          <w:b/>
          <w:color w:val="595959" w:themeColor="text1" w:themeTint="A6"/>
        </w:rPr>
        <w:t>Var</w:t>
      </w:r>
      <w:r w:rsidR="00023554">
        <w:rPr>
          <w:rFonts w:ascii="Arial Narrow" w:hAnsi="Arial Narrow" w:cs="Arial"/>
          <w:b/>
          <w:color w:val="595959" w:themeColor="text1" w:themeTint="A6"/>
        </w:rPr>
        <w:t>.</w:t>
      </w:r>
      <w:r w:rsidRPr="0008168A">
        <w:rPr>
          <w:rFonts w:ascii="Arial Narrow" w:hAnsi="Arial Narrow" w:cs="Arial"/>
          <w:b/>
          <w:color w:val="595959" w:themeColor="text1" w:themeTint="A6"/>
        </w:rPr>
        <w:t xml:space="preserve"> % da Produção Industrial de Santa Catarina, por Setor</w:t>
      </w:r>
    </w:p>
    <w:p w14:paraId="6EA31697" w14:textId="3A57EFBE" w:rsidR="00456BC8" w:rsidRPr="0008168A" w:rsidRDefault="003E2BE1" w:rsidP="00CD78F2">
      <w:pPr>
        <w:spacing w:line="360" w:lineRule="auto"/>
        <w:jc w:val="center"/>
        <w:rPr>
          <w:rFonts w:ascii="Arial Narrow" w:hAnsi="Arial Narrow"/>
          <w:b/>
          <w:color w:val="595959" w:themeColor="text1" w:themeTint="A6"/>
        </w:rPr>
      </w:pPr>
      <w:r>
        <w:rPr>
          <w:noProof/>
          <w:lang w:eastAsia="pt-BR"/>
        </w:rPr>
        <w:drawing>
          <wp:inline distT="0" distB="0" distL="0" distR="0" wp14:anchorId="5A95111B" wp14:editId="638D8916">
            <wp:extent cx="5427980" cy="5305425"/>
            <wp:effectExtent l="0" t="0" r="127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2DAC83" w14:textId="183A47FD" w:rsidR="007766AF" w:rsidRPr="00C31926" w:rsidRDefault="009311ED" w:rsidP="000203CB">
      <w:pPr>
        <w:spacing w:line="360" w:lineRule="auto"/>
        <w:jc w:val="both"/>
        <w:rPr>
          <w:rFonts w:ascii="Arial Narrow" w:eastAsia="MS Mincho" w:hAnsi="Arial Narrow" w:cs="ArialNarrow-Bold"/>
          <w:bCs/>
          <w:iCs/>
          <w:color w:val="1C6360"/>
          <w:szCs w:val="40"/>
        </w:rPr>
      </w:pPr>
      <w:r w:rsidRPr="001F0301">
        <w:rPr>
          <w:rFonts w:ascii="Arial Narrow" w:hAnsi="Arial Narrow" w:cs="Arial"/>
          <w:sz w:val="20"/>
        </w:rPr>
        <w:t>Fonte: IBGE/Observatório FIESC.</w:t>
      </w:r>
    </w:p>
    <w:sectPr w:rsidR="007766AF" w:rsidRPr="00C31926" w:rsidSect="00350C7D">
      <w:headerReference w:type="default" r:id="rId11"/>
      <w:footerReference w:type="default" r:id="rId12"/>
      <w:pgSz w:w="11900" w:h="16840"/>
      <w:pgMar w:top="1560" w:right="1552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028FC" w14:textId="77777777" w:rsidR="00D234F9" w:rsidRDefault="00D234F9" w:rsidP="008127FC">
      <w:r>
        <w:separator/>
      </w:r>
    </w:p>
  </w:endnote>
  <w:endnote w:type="continuationSeparator" w:id="0">
    <w:p w14:paraId="7997F5AA" w14:textId="77777777" w:rsidR="00D234F9" w:rsidRDefault="00D234F9" w:rsidP="0081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4893" w14:textId="1033F3A6" w:rsidR="00D234F9" w:rsidRDefault="00D234F9" w:rsidP="001A194F">
    <w:pPr>
      <w:pStyle w:val="Rodap"/>
      <w:tabs>
        <w:tab w:val="clear" w:pos="4320"/>
        <w:tab w:val="clear" w:pos="8640"/>
        <w:tab w:val="left" w:pos="580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9D72BAD" wp14:editId="1DCE7D52">
              <wp:simplePos x="0" y="0"/>
              <wp:positionH relativeFrom="column">
                <wp:posOffset>209550</wp:posOffset>
              </wp:positionH>
              <wp:positionV relativeFrom="paragraph">
                <wp:posOffset>-400685</wp:posOffset>
              </wp:positionV>
              <wp:extent cx="34290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F96A4" w14:textId="0FB1C2E7" w:rsidR="00D234F9" w:rsidRPr="002851DA" w:rsidRDefault="00D234F9" w:rsidP="00AE3195">
                          <w:pP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Produção Industrial - </w:t>
                          </w:r>
                          <w:r w:rsidR="003B1AE4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Março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</w:t>
                          </w:r>
                          <w:r w:rsidRPr="00856BE8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de 201</w:t>
                          </w:r>
                          <w:r w:rsidR="0065307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9</w:t>
                          </w:r>
                          <w:r w:rsidRPr="002851D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772D9A9" w14:textId="17B03BD4" w:rsidR="00D234F9" w:rsidRPr="002851DA" w:rsidRDefault="00D234F9" w:rsidP="00AE3195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>Observatório FIESC</w:t>
                          </w:r>
                        </w:p>
                        <w:p w14:paraId="1C14F832" w14:textId="77777777" w:rsidR="00D234F9" w:rsidRPr="002851DA" w:rsidRDefault="00D234F9" w:rsidP="00AE3195">
                          <w:pP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2B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.5pt;margin-top:-31.55pt;width:270pt;height:3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" filled="f" stroked="f">
              <v:textbox>
                <w:txbxContent>
                  <w:p w14:paraId="09EF96A4" w14:textId="0FB1C2E7" w:rsidR="00D234F9" w:rsidRPr="002851DA" w:rsidRDefault="00D234F9" w:rsidP="00AE3195">
                    <w:pPr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Produção Industrial - </w:t>
                    </w:r>
                    <w:r w:rsidR="003B1AE4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Março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</w:t>
                    </w:r>
                    <w:r w:rsidRPr="00856BE8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de 201</w:t>
                    </w:r>
                    <w:r w:rsidR="0065307D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9</w:t>
                    </w:r>
                    <w:r w:rsidRPr="002851DA"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  <w:t xml:space="preserve"> </w:t>
                    </w:r>
                  </w:p>
                  <w:p w14:paraId="4772D9A9" w14:textId="17B03BD4" w:rsidR="00D234F9" w:rsidRPr="002851DA" w:rsidRDefault="00D234F9" w:rsidP="00AE3195">
                    <w:pP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>Observatório FIESC</w:t>
                    </w:r>
                  </w:p>
                  <w:p w14:paraId="1C14F832" w14:textId="77777777" w:rsidR="00D234F9" w:rsidRPr="002851DA" w:rsidRDefault="00D234F9" w:rsidP="00AE3195">
                    <w:pPr>
                      <w:rPr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709C" w14:textId="77777777" w:rsidR="00D234F9" w:rsidRDefault="00D234F9" w:rsidP="008127FC">
      <w:r>
        <w:separator/>
      </w:r>
    </w:p>
  </w:footnote>
  <w:footnote w:type="continuationSeparator" w:id="0">
    <w:p w14:paraId="74C90A86" w14:textId="77777777" w:rsidR="00D234F9" w:rsidRDefault="00D234F9" w:rsidP="0081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DBCA" w14:textId="77777777" w:rsidR="00D234F9" w:rsidRPr="008127FC" w:rsidRDefault="00D234F9" w:rsidP="008127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3BF43" wp14:editId="4062CA35">
          <wp:simplePos x="0" y="0"/>
          <wp:positionH relativeFrom="column">
            <wp:posOffset>-1143000</wp:posOffset>
          </wp:positionH>
          <wp:positionV relativeFrom="paragraph">
            <wp:posOffset>-448310</wp:posOffset>
          </wp:positionV>
          <wp:extent cx="7543800" cy="10674477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erv_TIMB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C"/>
    <w:rsid w:val="00002E61"/>
    <w:rsid w:val="000203CB"/>
    <w:rsid w:val="00023554"/>
    <w:rsid w:val="00026360"/>
    <w:rsid w:val="00053B65"/>
    <w:rsid w:val="0006278A"/>
    <w:rsid w:val="00076F55"/>
    <w:rsid w:val="0008168A"/>
    <w:rsid w:val="00081838"/>
    <w:rsid w:val="00095778"/>
    <w:rsid w:val="000A084C"/>
    <w:rsid w:val="000B1614"/>
    <w:rsid w:val="000D72F1"/>
    <w:rsid w:val="000D7ABC"/>
    <w:rsid w:val="000E0BF8"/>
    <w:rsid w:val="00111F68"/>
    <w:rsid w:val="00122C13"/>
    <w:rsid w:val="00137838"/>
    <w:rsid w:val="001421CD"/>
    <w:rsid w:val="001428AA"/>
    <w:rsid w:val="0017559D"/>
    <w:rsid w:val="0017742F"/>
    <w:rsid w:val="00186918"/>
    <w:rsid w:val="00195E44"/>
    <w:rsid w:val="001A194F"/>
    <w:rsid w:val="001A1F7F"/>
    <w:rsid w:val="001D0176"/>
    <w:rsid w:val="001D2CA7"/>
    <w:rsid w:val="001D39F9"/>
    <w:rsid w:val="001F0301"/>
    <w:rsid w:val="00204F8B"/>
    <w:rsid w:val="0022166F"/>
    <w:rsid w:val="00230697"/>
    <w:rsid w:val="00231B1D"/>
    <w:rsid w:val="00236074"/>
    <w:rsid w:val="00245BBF"/>
    <w:rsid w:val="00252C2C"/>
    <w:rsid w:val="002714FD"/>
    <w:rsid w:val="00296FAF"/>
    <w:rsid w:val="002A1EF1"/>
    <w:rsid w:val="002A40C8"/>
    <w:rsid w:val="002A783E"/>
    <w:rsid w:val="002B06C9"/>
    <w:rsid w:val="002B7F88"/>
    <w:rsid w:val="002D40B3"/>
    <w:rsid w:val="002D73DC"/>
    <w:rsid w:val="002E4412"/>
    <w:rsid w:val="002E69AA"/>
    <w:rsid w:val="003035AF"/>
    <w:rsid w:val="003209CA"/>
    <w:rsid w:val="00350C7D"/>
    <w:rsid w:val="00360705"/>
    <w:rsid w:val="00367391"/>
    <w:rsid w:val="003A1A24"/>
    <w:rsid w:val="003B1AE4"/>
    <w:rsid w:val="003E2BE1"/>
    <w:rsid w:val="00445574"/>
    <w:rsid w:val="0045205D"/>
    <w:rsid w:val="00456BC8"/>
    <w:rsid w:val="004622E8"/>
    <w:rsid w:val="00480DF3"/>
    <w:rsid w:val="004A0390"/>
    <w:rsid w:val="004A287B"/>
    <w:rsid w:val="004B283C"/>
    <w:rsid w:val="004D3B12"/>
    <w:rsid w:val="004E14D4"/>
    <w:rsid w:val="004F34FE"/>
    <w:rsid w:val="00505D2E"/>
    <w:rsid w:val="00510F27"/>
    <w:rsid w:val="005177E8"/>
    <w:rsid w:val="0052009A"/>
    <w:rsid w:val="005357B4"/>
    <w:rsid w:val="00562F99"/>
    <w:rsid w:val="005729B3"/>
    <w:rsid w:val="00590CC9"/>
    <w:rsid w:val="005A5124"/>
    <w:rsid w:val="005B4024"/>
    <w:rsid w:val="005D1D9C"/>
    <w:rsid w:val="005E611F"/>
    <w:rsid w:val="005F4DD7"/>
    <w:rsid w:val="00600810"/>
    <w:rsid w:val="00600D37"/>
    <w:rsid w:val="00607B79"/>
    <w:rsid w:val="006141E9"/>
    <w:rsid w:val="00621A5E"/>
    <w:rsid w:val="00621C8E"/>
    <w:rsid w:val="00631F97"/>
    <w:rsid w:val="00636514"/>
    <w:rsid w:val="0065307D"/>
    <w:rsid w:val="0066087A"/>
    <w:rsid w:val="00660A8F"/>
    <w:rsid w:val="00664787"/>
    <w:rsid w:val="00673028"/>
    <w:rsid w:val="00676BAB"/>
    <w:rsid w:val="006B01E2"/>
    <w:rsid w:val="006C57DD"/>
    <w:rsid w:val="006D2E0C"/>
    <w:rsid w:val="006D462F"/>
    <w:rsid w:val="006D5EA4"/>
    <w:rsid w:val="006E6721"/>
    <w:rsid w:val="006E726A"/>
    <w:rsid w:val="006F1B5B"/>
    <w:rsid w:val="00707106"/>
    <w:rsid w:val="00715611"/>
    <w:rsid w:val="007766AF"/>
    <w:rsid w:val="007C1D55"/>
    <w:rsid w:val="007D7076"/>
    <w:rsid w:val="007F66E5"/>
    <w:rsid w:val="00804937"/>
    <w:rsid w:val="008127FC"/>
    <w:rsid w:val="00815698"/>
    <w:rsid w:val="00842D1A"/>
    <w:rsid w:val="00843DD4"/>
    <w:rsid w:val="00856BE8"/>
    <w:rsid w:val="00882244"/>
    <w:rsid w:val="008842A7"/>
    <w:rsid w:val="008A03AC"/>
    <w:rsid w:val="008C1273"/>
    <w:rsid w:val="008D604F"/>
    <w:rsid w:val="008E6295"/>
    <w:rsid w:val="009311ED"/>
    <w:rsid w:val="00952ED4"/>
    <w:rsid w:val="009734DA"/>
    <w:rsid w:val="009862B4"/>
    <w:rsid w:val="009E1E01"/>
    <w:rsid w:val="009E304E"/>
    <w:rsid w:val="009E490B"/>
    <w:rsid w:val="009E7B0E"/>
    <w:rsid w:val="00A03696"/>
    <w:rsid w:val="00A15330"/>
    <w:rsid w:val="00A31F84"/>
    <w:rsid w:val="00A35BFA"/>
    <w:rsid w:val="00A71542"/>
    <w:rsid w:val="00AD1025"/>
    <w:rsid w:val="00AE3195"/>
    <w:rsid w:val="00AE6B96"/>
    <w:rsid w:val="00AF04B2"/>
    <w:rsid w:val="00B231A9"/>
    <w:rsid w:val="00B458D7"/>
    <w:rsid w:val="00B50133"/>
    <w:rsid w:val="00B512DE"/>
    <w:rsid w:val="00B70D32"/>
    <w:rsid w:val="00B955F5"/>
    <w:rsid w:val="00BB0EC3"/>
    <w:rsid w:val="00BC5501"/>
    <w:rsid w:val="00BD0C7D"/>
    <w:rsid w:val="00BD485A"/>
    <w:rsid w:val="00BF3357"/>
    <w:rsid w:val="00C15C2E"/>
    <w:rsid w:val="00C31926"/>
    <w:rsid w:val="00C36B3C"/>
    <w:rsid w:val="00C47EC6"/>
    <w:rsid w:val="00C67FD9"/>
    <w:rsid w:val="00CD2AA4"/>
    <w:rsid w:val="00CD6397"/>
    <w:rsid w:val="00CD641D"/>
    <w:rsid w:val="00CD78F2"/>
    <w:rsid w:val="00CE2703"/>
    <w:rsid w:val="00CE462A"/>
    <w:rsid w:val="00CF6537"/>
    <w:rsid w:val="00D06AFF"/>
    <w:rsid w:val="00D074E9"/>
    <w:rsid w:val="00D10BB7"/>
    <w:rsid w:val="00D10E6E"/>
    <w:rsid w:val="00D234F9"/>
    <w:rsid w:val="00D27042"/>
    <w:rsid w:val="00D323E0"/>
    <w:rsid w:val="00D4136B"/>
    <w:rsid w:val="00D5465B"/>
    <w:rsid w:val="00D64E4C"/>
    <w:rsid w:val="00D80268"/>
    <w:rsid w:val="00D80DA5"/>
    <w:rsid w:val="00DB473A"/>
    <w:rsid w:val="00DB7133"/>
    <w:rsid w:val="00DC5AB2"/>
    <w:rsid w:val="00DD3791"/>
    <w:rsid w:val="00E24F5D"/>
    <w:rsid w:val="00E27DEF"/>
    <w:rsid w:val="00E3287D"/>
    <w:rsid w:val="00E406B0"/>
    <w:rsid w:val="00E56C27"/>
    <w:rsid w:val="00E613CB"/>
    <w:rsid w:val="00E620E4"/>
    <w:rsid w:val="00E624D5"/>
    <w:rsid w:val="00E71252"/>
    <w:rsid w:val="00EE4DE8"/>
    <w:rsid w:val="00EE62A0"/>
    <w:rsid w:val="00EE7CB5"/>
    <w:rsid w:val="00F13CB3"/>
    <w:rsid w:val="00F20DB2"/>
    <w:rsid w:val="00F234C5"/>
    <w:rsid w:val="00F31DDF"/>
    <w:rsid w:val="00F530BC"/>
    <w:rsid w:val="00F61FBA"/>
    <w:rsid w:val="00F72B83"/>
    <w:rsid w:val="00F74EE5"/>
    <w:rsid w:val="00F81EBE"/>
    <w:rsid w:val="00FB265C"/>
    <w:rsid w:val="00FC3B13"/>
    <w:rsid w:val="00FF1453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153D9C2"/>
  <w14:defaultImageDpi w14:val="300"/>
  <w15:docId w15:val="{40D68BAB-8CEC-4E5C-8551-A80D8D7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7FC"/>
  </w:style>
  <w:style w:type="paragraph" w:styleId="Rodap">
    <w:name w:val="footer"/>
    <w:basedOn w:val="Normal"/>
    <w:link w:val="Rodap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127FC"/>
  </w:style>
  <w:style w:type="paragraph" w:styleId="Textodebalo">
    <w:name w:val="Balloon Text"/>
    <w:basedOn w:val="Normal"/>
    <w:link w:val="TextodebaloChar"/>
    <w:uiPriority w:val="99"/>
    <w:semiHidden/>
    <w:unhideWhenUsed/>
    <w:rsid w:val="008127FC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7F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56B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/>
    </w:rPr>
  </w:style>
  <w:style w:type="character" w:styleId="nfase">
    <w:name w:val="Emphasis"/>
    <w:qFormat/>
    <w:rsid w:val="00856BE8"/>
    <w:rPr>
      <w:i/>
      <w:iCs/>
    </w:rPr>
  </w:style>
  <w:style w:type="paragraph" w:styleId="NormalWeb">
    <w:name w:val="Normal (Web)"/>
    <w:basedOn w:val="Normal"/>
    <w:uiPriority w:val="99"/>
    <w:unhideWhenUsed/>
    <w:rsid w:val="00856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deGrade4-nfase3">
    <w:name w:val="Grid Table 4 Accent 3"/>
    <w:basedOn w:val="Tabelanormal"/>
    <w:uiPriority w:val="49"/>
    <w:rsid w:val="00856BE8"/>
    <w:rPr>
      <w:rFonts w:ascii="Cambria" w:eastAsia="MS Mincho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Fontepargpadro"/>
    <w:uiPriority w:val="99"/>
    <w:unhideWhenUsed/>
    <w:rsid w:val="00076F5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3">
    <w:name w:val="Grid Table 5 Dark Accent 3"/>
    <w:basedOn w:val="Tabelanormal"/>
    <w:uiPriority w:val="50"/>
    <w:rsid w:val="009311ED"/>
    <w:rPr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Planilha_do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2.%20An&#225;lise%20da%20Produ&#231;&#227;o%20Industrial\2019\2019.03\AT2000%20Produ&#231;&#227;o%20Mar&#231;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605054598300738E-2"/>
          <c:y val="0.11728191456382914"/>
          <c:w val="0.92640262204286239"/>
          <c:h val="0.59016733144577405"/>
        </c:manualLayout>
      </c:layout>
      <c:lineChart>
        <c:grouping val="standard"/>
        <c:varyColors val="0"/>
        <c:ser>
          <c:idx val="0"/>
          <c:order val="0"/>
          <c:tx>
            <c:strRef>
              <c:f>'GR1'!$C$5</c:f>
              <c:strCache>
                <c:ptCount val="1"/>
                <c:pt idx="0">
                  <c:v>Santa Catarina</c:v>
                </c:pt>
              </c:strCache>
            </c:strRef>
          </c:tx>
          <c:spPr>
            <a:ln w="3810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0"/>
                  <c:y val="-7.31428571428571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accent3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0F9-41FA-B8BF-357A4E737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'GR1'!$A$6:$A$92</c:f>
              <c:numCache>
                <c:formatCode>[$-416]mmm\-yy;@</c:formatCode>
                <c:ptCount val="87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</c:numCache>
            </c:numRef>
          </c:cat>
          <c:val>
            <c:numRef>
              <c:f>'GR1'!$C$6:$C$92</c:f>
              <c:numCache>
                <c:formatCode>General</c:formatCode>
                <c:ptCount val="87"/>
                <c:pt idx="0">
                  <c:v>99.3</c:v>
                </c:pt>
                <c:pt idx="1">
                  <c:v>101.9</c:v>
                </c:pt>
                <c:pt idx="2">
                  <c:v>99</c:v>
                </c:pt>
                <c:pt idx="3">
                  <c:v>100.6</c:v>
                </c:pt>
                <c:pt idx="4">
                  <c:v>100.6</c:v>
                </c:pt>
                <c:pt idx="5">
                  <c:v>98.2</c:v>
                </c:pt>
                <c:pt idx="6">
                  <c:v>100.8</c:v>
                </c:pt>
                <c:pt idx="7">
                  <c:v>100.1</c:v>
                </c:pt>
                <c:pt idx="8">
                  <c:v>98.5</c:v>
                </c:pt>
                <c:pt idx="9">
                  <c:v>97.9</c:v>
                </c:pt>
                <c:pt idx="10">
                  <c:v>100.3</c:v>
                </c:pt>
                <c:pt idx="11">
                  <c:v>101</c:v>
                </c:pt>
                <c:pt idx="12">
                  <c:v>101.2</c:v>
                </c:pt>
                <c:pt idx="13">
                  <c:v>101.1</c:v>
                </c:pt>
                <c:pt idx="14">
                  <c:v>100.6</c:v>
                </c:pt>
                <c:pt idx="15">
                  <c:v>102.7</c:v>
                </c:pt>
                <c:pt idx="16">
                  <c:v>100.9</c:v>
                </c:pt>
                <c:pt idx="17">
                  <c:v>103.1</c:v>
                </c:pt>
                <c:pt idx="18">
                  <c:v>103</c:v>
                </c:pt>
                <c:pt idx="19">
                  <c:v>102.3</c:v>
                </c:pt>
                <c:pt idx="20">
                  <c:v>102.6</c:v>
                </c:pt>
                <c:pt idx="21">
                  <c:v>103.7</c:v>
                </c:pt>
                <c:pt idx="22">
                  <c:v>101.7</c:v>
                </c:pt>
                <c:pt idx="23">
                  <c:v>96.2</c:v>
                </c:pt>
                <c:pt idx="24">
                  <c:v>100.3</c:v>
                </c:pt>
                <c:pt idx="25">
                  <c:v>102.4</c:v>
                </c:pt>
                <c:pt idx="26">
                  <c:v>101.4</c:v>
                </c:pt>
                <c:pt idx="27">
                  <c:v>100.8</c:v>
                </c:pt>
                <c:pt idx="28">
                  <c:v>100.2</c:v>
                </c:pt>
                <c:pt idx="29">
                  <c:v>94.5</c:v>
                </c:pt>
                <c:pt idx="30">
                  <c:v>99.7</c:v>
                </c:pt>
                <c:pt idx="31">
                  <c:v>98.6</c:v>
                </c:pt>
                <c:pt idx="32">
                  <c:v>101.2</c:v>
                </c:pt>
                <c:pt idx="33">
                  <c:v>100.4</c:v>
                </c:pt>
                <c:pt idx="34">
                  <c:v>98.8</c:v>
                </c:pt>
                <c:pt idx="35">
                  <c:v>92.1</c:v>
                </c:pt>
                <c:pt idx="36">
                  <c:v>95</c:v>
                </c:pt>
                <c:pt idx="37">
                  <c:v>93.5</c:v>
                </c:pt>
                <c:pt idx="38">
                  <c:v>94.4</c:v>
                </c:pt>
                <c:pt idx="39">
                  <c:v>93.8</c:v>
                </c:pt>
                <c:pt idx="40">
                  <c:v>93.1</c:v>
                </c:pt>
                <c:pt idx="41">
                  <c:v>91.8</c:v>
                </c:pt>
                <c:pt idx="42">
                  <c:v>89.8</c:v>
                </c:pt>
                <c:pt idx="43">
                  <c:v>90.7</c:v>
                </c:pt>
                <c:pt idx="44">
                  <c:v>88.8</c:v>
                </c:pt>
                <c:pt idx="45">
                  <c:v>88.6</c:v>
                </c:pt>
                <c:pt idx="46">
                  <c:v>91.5</c:v>
                </c:pt>
                <c:pt idx="47">
                  <c:v>82.7</c:v>
                </c:pt>
                <c:pt idx="48">
                  <c:v>86.4</c:v>
                </c:pt>
                <c:pt idx="49">
                  <c:v>85.8</c:v>
                </c:pt>
                <c:pt idx="50">
                  <c:v>88.4</c:v>
                </c:pt>
                <c:pt idx="51">
                  <c:v>86.9</c:v>
                </c:pt>
                <c:pt idx="52">
                  <c:v>88.1</c:v>
                </c:pt>
                <c:pt idx="53">
                  <c:v>90.1</c:v>
                </c:pt>
                <c:pt idx="54">
                  <c:v>88.4</c:v>
                </c:pt>
                <c:pt idx="55">
                  <c:v>88.8</c:v>
                </c:pt>
                <c:pt idx="56">
                  <c:v>89.1</c:v>
                </c:pt>
                <c:pt idx="57">
                  <c:v>87.1</c:v>
                </c:pt>
                <c:pt idx="58">
                  <c:v>87.9</c:v>
                </c:pt>
                <c:pt idx="59">
                  <c:v>88.7</c:v>
                </c:pt>
                <c:pt idx="60">
                  <c:v>90.2</c:v>
                </c:pt>
                <c:pt idx="61">
                  <c:v>93.4</c:v>
                </c:pt>
                <c:pt idx="62">
                  <c:v>89.9</c:v>
                </c:pt>
                <c:pt idx="63">
                  <c:v>89.3</c:v>
                </c:pt>
                <c:pt idx="64">
                  <c:v>91.2</c:v>
                </c:pt>
                <c:pt idx="65">
                  <c:v>91.4</c:v>
                </c:pt>
                <c:pt idx="66">
                  <c:v>92.3</c:v>
                </c:pt>
                <c:pt idx="67">
                  <c:v>92.7</c:v>
                </c:pt>
                <c:pt idx="68">
                  <c:v>93.1</c:v>
                </c:pt>
                <c:pt idx="69">
                  <c:v>93.8</c:v>
                </c:pt>
                <c:pt idx="70">
                  <c:v>94.5</c:v>
                </c:pt>
                <c:pt idx="71">
                  <c:v>96.6</c:v>
                </c:pt>
                <c:pt idx="72">
                  <c:v>96.8</c:v>
                </c:pt>
                <c:pt idx="73">
                  <c:v>97.2</c:v>
                </c:pt>
                <c:pt idx="74">
                  <c:v>95.7</c:v>
                </c:pt>
                <c:pt idx="75">
                  <c:v>97.3</c:v>
                </c:pt>
                <c:pt idx="76">
                  <c:v>83</c:v>
                </c:pt>
                <c:pt idx="77">
                  <c:v>96.5</c:v>
                </c:pt>
                <c:pt idx="78">
                  <c:v>98.2</c:v>
                </c:pt>
                <c:pt idx="79">
                  <c:v>97.7</c:v>
                </c:pt>
                <c:pt idx="80">
                  <c:v>95.2</c:v>
                </c:pt>
                <c:pt idx="81">
                  <c:v>99.2</c:v>
                </c:pt>
                <c:pt idx="82">
                  <c:v>98.8</c:v>
                </c:pt>
                <c:pt idx="83">
                  <c:v>96.5</c:v>
                </c:pt>
                <c:pt idx="84">
                  <c:v>97.8</c:v>
                </c:pt>
                <c:pt idx="85">
                  <c:v>98.5</c:v>
                </c:pt>
                <c:pt idx="86">
                  <c:v>99.7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F9-41FA-B8BF-357A4E737E52}"/>
            </c:ext>
          </c:extLst>
        </c:ser>
        <c:ser>
          <c:idx val="1"/>
          <c:order val="1"/>
          <c:tx>
            <c:strRef>
              <c:f>'GR1'!$B$5</c:f>
              <c:strCache>
                <c:ptCount val="1"/>
                <c:pt idx="0">
                  <c:v>Brasil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1.6323313564873714E-16"/>
                  <c:y val="7.77142857142857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F9-41FA-B8BF-357A4E737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'GR1'!$A$6:$A$92</c:f>
              <c:numCache>
                <c:formatCode>[$-416]mmm\-yy;@</c:formatCode>
                <c:ptCount val="87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</c:numCache>
            </c:numRef>
          </c:cat>
          <c:val>
            <c:numRef>
              <c:f>'GR1'!$B$6:$B$92</c:f>
              <c:numCache>
                <c:formatCode>General</c:formatCode>
                <c:ptCount val="87"/>
                <c:pt idx="0">
                  <c:v>97.8</c:v>
                </c:pt>
                <c:pt idx="1">
                  <c:v>99.1</c:v>
                </c:pt>
                <c:pt idx="2">
                  <c:v>98.3</c:v>
                </c:pt>
                <c:pt idx="3">
                  <c:v>98.5</c:v>
                </c:pt>
                <c:pt idx="4">
                  <c:v>98.8</c:v>
                </c:pt>
                <c:pt idx="5">
                  <c:v>98.9</c:v>
                </c:pt>
                <c:pt idx="6">
                  <c:v>100.4</c:v>
                </c:pt>
                <c:pt idx="7">
                  <c:v>102.8</c:v>
                </c:pt>
                <c:pt idx="8">
                  <c:v>100.6</c:v>
                </c:pt>
                <c:pt idx="9">
                  <c:v>102.2</c:v>
                </c:pt>
                <c:pt idx="10">
                  <c:v>100.6</c:v>
                </c:pt>
                <c:pt idx="11">
                  <c:v>101.2</c:v>
                </c:pt>
                <c:pt idx="12">
                  <c:v>102.1</c:v>
                </c:pt>
                <c:pt idx="13">
                  <c:v>99.7</c:v>
                </c:pt>
                <c:pt idx="14">
                  <c:v>101.2</c:v>
                </c:pt>
                <c:pt idx="15">
                  <c:v>102.8</c:v>
                </c:pt>
                <c:pt idx="16">
                  <c:v>102.6</c:v>
                </c:pt>
                <c:pt idx="17">
                  <c:v>103.2</c:v>
                </c:pt>
                <c:pt idx="18">
                  <c:v>102.4</c:v>
                </c:pt>
                <c:pt idx="19">
                  <c:v>103</c:v>
                </c:pt>
                <c:pt idx="20">
                  <c:v>103.6</c:v>
                </c:pt>
                <c:pt idx="21">
                  <c:v>102.6</c:v>
                </c:pt>
                <c:pt idx="22">
                  <c:v>102.9</c:v>
                </c:pt>
                <c:pt idx="23">
                  <c:v>98.8</c:v>
                </c:pt>
                <c:pt idx="24">
                  <c:v>100.7</c:v>
                </c:pt>
                <c:pt idx="25">
                  <c:v>101.2</c:v>
                </c:pt>
                <c:pt idx="26">
                  <c:v>101.1</c:v>
                </c:pt>
                <c:pt idx="27">
                  <c:v>100.2</c:v>
                </c:pt>
                <c:pt idx="28">
                  <c:v>98.7</c:v>
                </c:pt>
                <c:pt idx="29">
                  <c:v>96.2</c:v>
                </c:pt>
                <c:pt idx="30">
                  <c:v>98.3</c:v>
                </c:pt>
                <c:pt idx="31">
                  <c:v>99.2</c:v>
                </c:pt>
                <c:pt idx="32">
                  <c:v>99.3</c:v>
                </c:pt>
                <c:pt idx="33">
                  <c:v>99.9</c:v>
                </c:pt>
                <c:pt idx="34">
                  <c:v>98.6</c:v>
                </c:pt>
                <c:pt idx="35">
                  <c:v>95.3</c:v>
                </c:pt>
                <c:pt idx="36">
                  <c:v>96</c:v>
                </c:pt>
                <c:pt idx="37">
                  <c:v>95.5</c:v>
                </c:pt>
                <c:pt idx="38">
                  <c:v>94.9</c:v>
                </c:pt>
                <c:pt idx="39">
                  <c:v>93.1</c:v>
                </c:pt>
                <c:pt idx="40">
                  <c:v>92.1</c:v>
                </c:pt>
                <c:pt idx="41">
                  <c:v>91.2</c:v>
                </c:pt>
                <c:pt idx="42">
                  <c:v>89.6</c:v>
                </c:pt>
                <c:pt idx="43">
                  <c:v>90.2</c:v>
                </c:pt>
                <c:pt idx="44">
                  <c:v>88.3</c:v>
                </c:pt>
                <c:pt idx="45">
                  <c:v>88.2</c:v>
                </c:pt>
                <c:pt idx="46">
                  <c:v>86.4</c:v>
                </c:pt>
                <c:pt idx="47">
                  <c:v>84.7</c:v>
                </c:pt>
                <c:pt idx="48">
                  <c:v>86.1</c:v>
                </c:pt>
                <c:pt idx="49">
                  <c:v>85</c:v>
                </c:pt>
                <c:pt idx="50">
                  <c:v>85.5</c:v>
                </c:pt>
                <c:pt idx="51">
                  <c:v>85.3</c:v>
                </c:pt>
                <c:pt idx="52">
                  <c:v>85.8</c:v>
                </c:pt>
                <c:pt idx="53">
                  <c:v>84.8</c:v>
                </c:pt>
                <c:pt idx="54">
                  <c:v>85.4</c:v>
                </c:pt>
                <c:pt idx="55">
                  <c:v>83.4</c:v>
                </c:pt>
                <c:pt idx="56">
                  <c:v>84.6</c:v>
                </c:pt>
                <c:pt idx="57">
                  <c:v>83.5</c:v>
                </c:pt>
                <c:pt idx="58">
                  <c:v>84</c:v>
                </c:pt>
                <c:pt idx="59">
                  <c:v>85.3</c:v>
                </c:pt>
                <c:pt idx="60">
                  <c:v>86.4</c:v>
                </c:pt>
                <c:pt idx="61">
                  <c:v>87.7</c:v>
                </c:pt>
                <c:pt idx="62">
                  <c:v>85.5</c:v>
                </c:pt>
                <c:pt idx="63">
                  <c:v>85.8</c:v>
                </c:pt>
                <c:pt idx="64">
                  <c:v>86.1</c:v>
                </c:pt>
                <c:pt idx="65">
                  <c:v>86.8</c:v>
                </c:pt>
                <c:pt idx="66">
                  <c:v>87.1</c:v>
                </c:pt>
                <c:pt idx="67">
                  <c:v>87</c:v>
                </c:pt>
                <c:pt idx="68">
                  <c:v>87.8</c:v>
                </c:pt>
                <c:pt idx="69">
                  <c:v>88</c:v>
                </c:pt>
                <c:pt idx="70">
                  <c:v>88.6</c:v>
                </c:pt>
                <c:pt idx="71">
                  <c:v>91.1</c:v>
                </c:pt>
                <c:pt idx="72">
                  <c:v>89.2</c:v>
                </c:pt>
                <c:pt idx="73">
                  <c:v>88.9</c:v>
                </c:pt>
                <c:pt idx="74">
                  <c:v>89.3</c:v>
                </c:pt>
                <c:pt idx="75">
                  <c:v>90</c:v>
                </c:pt>
                <c:pt idx="76">
                  <c:v>80.2</c:v>
                </c:pt>
                <c:pt idx="77">
                  <c:v>90.1</c:v>
                </c:pt>
                <c:pt idx="78">
                  <c:v>89.9</c:v>
                </c:pt>
                <c:pt idx="79">
                  <c:v>89.3</c:v>
                </c:pt>
                <c:pt idx="80">
                  <c:v>87.4</c:v>
                </c:pt>
                <c:pt idx="81">
                  <c:v>87.7</c:v>
                </c:pt>
                <c:pt idx="82">
                  <c:v>87.6</c:v>
                </c:pt>
                <c:pt idx="83">
                  <c:v>87.7</c:v>
                </c:pt>
                <c:pt idx="84">
                  <c:v>87.1</c:v>
                </c:pt>
                <c:pt idx="85">
                  <c:v>87.6</c:v>
                </c:pt>
                <c:pt idx="86">
                  <c:v>86.5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F9-41FA-B8BF-357A4E737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325352"/>
        <c:axId val="501326008"/>
      </c:lineChart>
      <c:dateAx>
        <c:axId val="501325352"/>
        <c:scaling>
          <c:orientation val="minMax"/>
          <c:max val="43525"/>
          <c:min val="40969"/>
        </c:scaling>
        <c:delete val="0"/>
        <c:axPos val="b"/>
        <c:numFmt formatCode="[$-416]mmm\-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01326008"/>
        <c:crosses val="autoZero"/>
        <c:auto val="1"/>
        <c:lblOffset val="100"/>
        <c:baseTimeUnit val="months"/>
        <c:majorUnit val="12"/>
        <c:majorTimeUnit val="months"/>
      </c:dateAx>
      <c:valAx>
        <c:axId val="501326008"/>
        <c:scaling>
          <c:orientation val="minMax"/>
          <c:max val="110"/>
          <c:min val="75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01325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842971289576875E-2"/>
          <c:y val="5.0925925925925923E-2"/>
          <c:w val="0.91817122518969629"/>
          <c:h val="0.780981143804392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'GR2'!$C$19</c:f>
              <c:strCache>
                <c:ptCount val="1"/>
                <c:pt idx="0">
                  <c:v>Indústria Geral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'GR2'!$B$20:$B$34</c:f>
              <c:strCache>
                <c:ptCount val="15"/>
                <c:pt idx="0">
                  <c:v>PR</c:v>
                </c:pt>
                <c:pt idx="1">
                  <c:v>RS</c:v>
                </c:pt>
                <c:pt idx="2">
                  <c:v>SC</c:v>
                </c:pt>
                <c:pt idx="3">
                  <c:v>GO</c:v>
                </c:pt>
                <c:pt idx="4">
                  <c:v>CE</c:v>
                </c:pt>
                <c:pt idx="5">
                  <c:v>PA</c:v>
                </c:pt>
                <c:pt idx="6">
                  <c:v>RJ</c:v>
                </c:pt>
                <c:pt idx="7">
                  <c:v>BR</c:v>
                </c:pt>
                <c:pt idx="8">
                  <c:v>PE</c:v>
                </c:pt>
                <c:pt idx="9">
                  <c:v>MG</c:v>
                </c:pt>
                <c:pt idx="10">
                  <c:v>SP</c:v>
                </c:pt>
                <c:pt idx="11">
                  <c:v>BA</c:v>
                </c:pt>
                <c:pt idx="12">
                  <c:v>MT</c:v>
                </c:pt>
                <c:pt idx="13">
                  <c:v>AM</c:v>
                </c:pt>
                <c:pt idx="14">
                  <c:v>ES</c:v>
                </c:pt>
              </c:strCache>
            </c:strRef>
          </c:cat>
          <c:val>
            <c:numRef>
              <c:f>'GR2'!$C$20:$C$34</c:f>
              <c:numCache>
                <c:formatCode>General</c:formatCode>
                <c:ptCount val="15"/>
                <c:pt idx="0">
                  <c:v>7.8</c:v>
                </c:pt>
                <c:pt idx="1">
                  <c:v>5.5</c:v>
                </c:pt>
                <c:pt idx="2">
                  <c:v>2.8</c:v>
                </c:pt>
                <c:pt idx="3">
                  <c:v>2.2999999999999998</c:v>
                </c:pt>
                <c:pt idx="4">
                  <c:v>0.3</c:v>
                </c:pt>
                <c:pt idx="5">
                  <c:v>-0.7</c:v>
                </c:pt>
                <c:pt idx="6">
                  <c:v>-1.5</c:v>
                </c:pt>
                <c:pt idx="7">
                  <c:v>-2.2000000000000002</c:v>
                </c:pt>
                <c:pt idx="8">
                  <c:v>-2.4</c:v>
                </c:pt>
                <c:pt idx="9">
                  <c:v>-2.5</c:v>
                </c:pt>
                <c:pt idx="10">
                  <c:v>-2.6</c:v>
                </c:pt>
                <c:pt idx="11">
                  <c:v>-3.5</c:v>
                </c:pt>
                <c:pt idx="12">
                  <c:v>-5</c:v>
                </c:pt>
                <c:pt idx="13">
                  <c:v>-5.0999999999999996</c:v>
                </c:pt>
                <c:pt idx="14">
                  <c:v>-8.5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76-4F81-9FB8-89E52C76EC99}"/>
            </c:ext>
          </c:extLst>
        </c:ser>
        <c:ser>
          <c:idx val="1"/>
          <c:order val="1"/>
          <c:tx>
            <c:strRef>
              <c:f>'GR2'!$D$19</c:f>
              <c:strCache>
                <c:ptCount val="1"/>
                <c:pt idx="0">
                  <c:v>Indústria de Transformação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'GR2'!$B$20:$B$34</c:f>
              <c:strCache>
                <c:ptCount val="15"/>
                <c:pt idx="0">
                  <c:v>PR</c:v>
                </c:pt>
                <c:pt idx="1">
                  <c:v>RS</c:v>
                </c:pt>
                <c:pt idx="2">
                  <c:v>SC</c:v>
                </c:pt>
                <c:pt idx="3">
                  <c:v>GO</c:v>
                </c:pt>
                <c:pt idx="4">
                  <c:v>CE</c:v>
                </c:pt>
                <c:pt idx="5">
                  <c:v>PA</c:v>
                </c:pt>
                <c:pt idx="6">
                  <c:v>RJ</c:v>
                </c:pt>
                <c:pt idx="7">
                  <c:v>BR</c:v>
                </c:pt>
                <c:pt idx="8">
                  <c:v>PE</c:v>
                </c:pt>
                <c:pt idx="9">
                  <c:v>MG</c:v>
                </c:pt>
                <c:pt idx="10">
                  <c:v>SP</c:v>
                </c:pt>
                <c:pt idx="11">
                  <c:v>BA</c:v>
                </c:pt>
                <c:pt idx="12">
                  <c:v>MT</c:v>
                </c:pt>
                <c:pt idx="13">
                  <c:v>AM</c:v>
                </c:pt>
                <c:pt idx="14">
                  <c:v>ES</c:v>
                </c:pt>
              </c:strCache>
            </c:strRef>
          </c:cat>
          <c:val>
            <c:numRef>
              <c:f>'GR2'!$D$20:$D$34</c:f>
              <c:numCache>
                <c:formatCode>General</c:formatCode>
                <c:ptCount val="15"/>
                <c:pt idx="0">
                  <c:v>7.8</c:v>
                </c:pt>
                <c:pt idx="1">
                  <c:v>5.5</c:v>
                </c:pt>
                <c:pt idx="2">
                  <c:v>2.8</c:v>
                </c:pt>
                <c:pt idx="3">
                  <c:v>3.3</c:v>
                </c:pt>
                <c:pt idx="4">
                  <c:v>0.3</c:v>
                </c:pt>
                <c:pt idx="5">
                  <c:v>-8.9</c:v>
                </c:pt>
                <c:pt idx="6">
                  <c:v>-2.2999999999999998</c:v>
                </c:pt>
                <c:pt idx="7">
                  <c:v>-1.4</c:v>
                </c:pt>
                <c:pt idx="8">
                  <c:v>-2.4</c:v>
                </c:pt>
                <c:pt idx="9">
                  <c:v>1</c:v>
                </c:pt>
                <c:pt idx="10">
                  <c:v>-2.6</c:v>
                </c:pt>
                <c:pt idx="11">
                  <c:v>-3.9</c:v>
                </c:pt>
                <c:pt idx="12">
                  <c:v>-5</c:v>
                </c:pt>
                <c:pt idx="13">
                  <c:v>-5.8</c:v>
                </c:pt>
                <c:pt idx="14">
                  <c:v>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76-4F81-9FB8-89E52C76E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2267944"/>
        <c:axId val="612269912"/>
      </c:barChart>
      <c:catAx>
        <c:axId val="612267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612269912"/>
        <c:crosses val="autoZero"/>
        <c:auto val="1"/>
        <c:lblAlgn val="ctr"/>
        <c:lblOffset val="100"/>
        <c:noMultiLvlLbl val="0"/>
      </c:catAx>
      <c:valAx>
        <c:axId val="612269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612267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'GR3'!$B$1</c:f>
              <c:strCache>
                <c:ptCount val="1"/>
                <c:pt idx="0">
                  <c:v>Março 2019/Março 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9.07029694390509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4A3-4820-9BAC-C96EC8E50F81}"/>
                </c:ext>
              </c:extLst>
            </c:dLbl>
            <c:dLbl>
              <c:idx val="2"/>
              <c:layout>
                <c:manualLayout>
                  <c:x val="0"/>
                  <c:y val="5.6306306306306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4A3-4820-9BAC-C96EC8E50F81}"/>
                </c:ext>
              </c:extLst>
            </c:dLbl>
            <c:dLbl>
              <c:idx val="5"/>
              <c:layout>
                <c:manualLayout>
                  <c:x val="0"/>
                  <c:y val="2.094241413266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4A3-4820-9BAC-C96EC8E50F81}"/>
                </c:ext>
              </c:extLst>
            </c:dLbl>
            <c:dLbl>
              <c:idx val="7"/>
              <c:layout>
                <c:manualLayout>
                  <c:x val="0"/>
                  <c:y val="6.98080471088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4A3-4820-9BAC-C96EC8E50F81}"/>
                </c:ext>
              </c:extLst>
            </c:dLbl>
            <c:dLbl>
              <c:idx val="8"/>
              <c:layout>
                <c:manualLayout>
                  <c:x val="0"/>
                  <c:y val="9.0702969439050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4A3-4820-9BAC-C96EC8E50F81}"/>
                </c:ext>
              </c:extLst>
            </c:dLbl>
            <c:dLbl>
              <c:idx val="11"/>
              <c:layout>
                <c:manualLayout>
                  <c:x val="-6.1118467963737124E-3"/>
                  <c:y val="3.490402355444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4A3-4820-9BAC-C96EC8E50F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3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'GR3'!$A$2:$A$13</c:f>
              <c:strCache>
                <c:ptCount val="12"/>
                <c:pt idx="0">
                  <c:v>Indústria geral</c:v>
                </c:pt>
                <c:pt idx="1">
                  <c:v>Produtos alimentícios</c:v>
                </c:pt>
                <c:pt idx="2">
                  <c:v>Têxtil</c:v>
                </c:pt>
                <c:pt idx="3">
                  <c:v>Vestuário</c:v>
                </c:pt>
                <c:pt idx="4">
                  <c:v>Madeira</c:v>
                </c:pt>
                <c:pt idx="5">
                  <c:v>Celulose e Papel</c:v>
                </c:pt>
                <c:pt idx="6">
                  <c:v>Borracha e Plástico</c:v>
                </c:pt>
                <c:pt idx="7">
                  <c:v>Minerais não-metálicos</c:v>
                </c:pt>
                <c:pt idx="8">
                  <c:v>Metalurgia</c:v>
                </c:pt>
                <c:pt idx="9">
                  <c:v>Produtos de metal</c:v>
                </c:pt>
                <c:pt idx="10">
                  <c:v>Máquinas e apar. Elétricos</c:v>
                </c:pt>
                <c:pt idx="11">
                  <c:v>Máquinas e equipamentos</c:v>
                </c:pt>
              </c:strCache>
            </c:strRef>
          </c:cat>
          <c:val>
            <c:numRef>
              <c:f>'GR3'!$B$2:$B$13</c:f>
              <c:numCache>
                <c:formatCode>General</c:formatCode>
                <c:ptCount val="12"/>
                <c:pt idx="0">
                  <c:v>3</c:v>
                </c:pt>
                <c:pt idx="1">
                  <c:v>0.8</c:v>
                </c:pt>
                <c:pt idx="2">
                  <c:v>-2.4</c:v>
                </c:pt>
                <c:pt idx="3">
                  <c:v>-2.2999999999999998</c:v>
                </c:pt>
                <c:pt idx="4">
                  <c:v>5.4</c:v>
                </c:pt>
                <c:pt idx="5">
                  <c:v>3.2</c:v>
                </c:pt>
                <c:pt idx="6">
                  <c:v>-0.2</c:v>
                </c:pt>
                <c:pt idx="7">
                  <c:v>8</c:v>
                </c:pt>
                <c:pt idx="8">
                  <c:v>4.3</c:v>
                </c:pt>
                <c:pt idx="9">
                  <c:v>9.8000000000000007</c:v>
                </c:pt>
                <c:pt idx="10">
                  <c:v>11.2</c:v>
                </c:pt>
                <c:pt idx="11">
                  <c:v>9.6999999999999993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4A3-4820-9BAC-C96EC8E50F81}"/>
            </c:ext>
          </c:extLst>
        </c:ser>
        <c:ser>
          <c:idx val="1"/>
          <c:order val="1"/>
          <c:tx>
            <c:strRef>
              <c:f>'GR3'!$C$1</c:f>
              <c:strCache>
                <c:ptCount val="1"/>
                <c:pt idx="0">
                  <c:v>Acumulado Janeiro-Março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'GR3'!$A$2:$A$13</c:f>
              <c:strCache>
                <c:ptCount val="12"/>
                <c:pt idx="0">
                  <c:v>Indústria geral</c:v>
                </c:pt>
                <c:pt idx="1">
                  <c:v>Produtos alimentícios</c:v>
                </c:pt>
                <c:pt idx="2">
                  <c:v>Têxtil</c:v>
                </c:pt>
                <c:pt idx="3">
                  <c:v>Vestuário</c:v>
                </c:pt>
                <c:pt idx="4">
                  <c:v>Madeira</c:v>
                </c:pt>
                <c:pt idx="5">
                  <c:v>Celulose e Papel</c:v>
                </c:pt>
                <c:pt idx="6">
                  <c:v>Borracha e Plástico</c:v>
                </c:pt>
                <c:pt idx="7">
                  <c:v>Minerais não-metálicos</c:v>
                </c:pt>
                <c:pt idx="8">
                  <c:v>Metalurgia</c:v>
                </c:pt>
                <c:pt idx="9">
                  <c:v>Produtos de metal</c:v>
                </c:pt>
                <c:pt idx="10">
                  <c:v>Máquinas e apar. Elétricos</c:v>
                </c:pt>
                <c:pt idx="11">
                  <c:v>Máquinas e equipamentos</c:v>
                </c:pt>
              </c:strCache>
            </c:strRef>
          </c:cat>
          <c:val>
            <c:numRef>
              <c:f>'GR3'!$C$2:$C$13</c:f>
              <c:numCache>
                <c:formatCode>General</c:formatCode>
                <c:ptCount val="12"/>
                <c:pt idx="0">
                  <c:v>2.8</c:v>
                </c:pt>
                <c:pt idx="1">
                  <c:v>-0.7</c:v>
                </c:pt>
                <c:pt idx="2">
                  <c:v>-1.6</c:v>
                </c:pt>
                <c:pt idx="3">
                  <c:v>-0.8</c:v>
                </c:pt>
                <c:pt idx="4">
                  <c:v>4.8</c:v>
                </c:pt>
                <c:pt idx="5">
                  <c:v>2.8</c:v>
                </c:pt>
                <c:pt idx="6">
                  <c:v>-2.6</c:v>
                </c:pt>
                <c:pt idx="7">
                  <c:v>4.8</c:v>
                </c:pt>
                <c:pt idx="8">
                  <c:v>5.8</c:v>
                </c:pt>
                <c:pt idx="9">
                  <c:v>7.1</c:v>
                </c:pt>
                <c:pt idx="10">
                  <c:v>9.9</c:v>
                </c:pt>
                <c:pt idx="11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4A3-4820-9BAC-C96EC8E50F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845360"/>
        <c:axId val="476841096"/>
      </c:barChart>
      <c:catAx>
        <c:axId val="476845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476841096"/>
        <c:crosses val="autoZero"/>
        <c:auto val="1"/>
        <c:lblAlgn val="ctr"/>
        <c:lblOffset val="100"/>
        <c:noMultiLvlLbl val="0"/>
      </c:catAx>
      <c:valAx>
        <c:axId val="476841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684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Arial Narrow" panose="020B0606020202030204" pitchFamily="34" charset="0"/>
        </a:defRPr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527C-710B-4F72-A187-903FFB7A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hernandez</dc:creator>
  <cp:keywords/>
  <dc:description/>
  <cp:lastModifiedBy>EDILENE CAVALCANTI DOS ANJOS</cp:lastModifiedBy>
  <cp:revision>57</cp:revision>
  <cp:lastPrinted>2019-05-08T19:53:00Z</cp:lastPrinted>
  <dcterms:created xsi:type="dcterms:W3CDTF">2018-12-07T13:06:00Z</dcterms:created>
  <dcterms:modified xsi:type="dcterms:W3CDTF">2019-05-08T20:11:00Z</dcterms:modified>
</cp:coreProperties>
</file>