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1D6F5" w14:textId="448B7900" w:rsidR="00856BE8" w:rsidRPr="001F0301" w:rsidRDefault="009311ED" w:rsidP="00856BE8">
      <w:pPr>
        <w:pStyle w:val="BasicParagraph"/>
        <w:spacing w:line="240" w:lineRule="auto"/>
        <w:jc w:val="center"/>
        <w:outlineLvl w:val="0"/>
        <w:rPr>
          <w:rFonts w:ascii="Arial Narrow" w:hAnsi="Arial Narrow" w:cs="ArialNarrow-Bold"/>
          <w:b/>
          <w:bCs/>
          <w:color w:val="1C6360"/>
          <w:sz w:val="54"/>
          <w:szCs w:val="32"/>
          <w:lang w:val="pt-BR"/>
        </w:rPr>
      </w:pPr>
      <w:r w:rsidRPr="001F0301">
        <w:rPr>
          <w:rFonts w:ascii="Arial Narrow" w:hAnsi="Arial Narrow" w:cs="ArialNarrow-Bold"/>
          <w:b/>
          <w:bCs/>
          <w:color w:val="1C6360"/>
          <w:sz w:val="54"/>
          <w:szCs w:val="32"/>
          <w:lang w:val="pt-BR"/>
        </w:rPr>
        <w:t xml:space="preserve">Análise </w:t>
      </w:r>
      <w:r w:rsidR="006C3B01">
        <w:rPr>
          <w:rFonts w:ascii="Arial Narrow" w:hAnsi="Arial Narrow" w:cs="ArialNarrow-Bold"/>
          <w:b/>
          <w:bCs/>
          <w:color w:val="1C6360"/>
          <w:sz w:val="54"/>
          <w:szCs w:val="32"/>
          <w:lang w:val="pt-BR"/>
        </w:rPr>
        <w:t>da Atividade Econômica</w:t>
      </w:r>
    </w:p>
    <w:p w14:paraId="60B0702F" w14:textId="71F23A60" w:rsidR="00856BE8" w:rsidRPr="001F0301" w:rsidRDefault="002B3996" w:rsidP="00856BE8">
      <w:pPr>
        <w:pStyle w:val="BasicParagraph"/>
        <w:spacing w:line="240" w:lineRule="auto"/>
        <w:jc w:val="center"/>
        <w:outlineLvl w:val="0"/>
        <w:rPr>
          <w:rFonts w:ascii="Myriad Pro" w:hAnsi="Myriad Pro" w:cs="ArialNarrow-Bold"/>
          <w:b/>
          <w:bCs/>
          <w:color w:val="1C6360"/>
          <w:sz w:val="34"/>
          <w:szCs w:val="32"/>
          <w:lang w:val="pt-BR"/>
        </w:rPr>
      </w:pPr>
      <w:r>
        <w:rPr>
          <w:rFonts w:ascii="Arial Narrow" w:hAnsi="Arial Narrow" w:cs="ArialNarrow-Bold"/>
          <w:b/>
          <w:bCs/>
          <w:color w:val="1C6360"/>
          <w:sz w:val="34"/>
          <w:szCs w:val="32"/>
          <w:lang w:val="pt-BR"/>
        </w:rPr>
        <w:t>MAIO</w:t>
      </w:r>
      <w:r w:rsidR="009679F6">
        <w:rPr>
          <w:rFonts w:ascii="Arial Narrow" w:hAnsi="Arial Narrow" w:cs="ArialNarrow-Bold"/>
          <w:b/>
          <w:bCs/>
          <w:color w:val="1C6360"/>
          <w:sz w:val="34"/>
          <w:szCs w:val="32"/>
          <w:lang w:val="pt-BR"/>
        </w:rPr>
        <w:t>/2019</w:t>
      </w:r>
    </w:p>
    <w:p w14:paraId="4EE6F033" w14:textId="317D3CCC" w:rsidR="00856BE8" w:rsidRDefault="008301A1" w:rsidP="00F67694">
      <w:pPr>
        <w:pStyle w:val="BasicParagraph"/>
        <w:spacing w:line="240" w:lineRule="auto"/>
        <w:jc w:val="center"/>
        <w:rPr>
          <w:rFonts w:ascii="Arial Narrow" w:hAnsi="Arial Narrow" w:cs="ArialNarrow-Bold"/>
          <w:b/>
          <w:bCs/>
          <w:color w:val="006666"/>
          <w:sz w:val="36"/>
          <w:szCs w:val="34"/>
          <w:lang w:val="pt-BR"/>
        </w:rPr>
      </w:pPr>
      <w:r w:rsidRPr="001F0301">
        <w:rPr>
          <w:rFonts w:ascii="Arial Narrow" w:hAnsi="Arial Narrow" w:cs="ArialNarrow-Bold"/>
          <w:b/>
          <w:bCs/>
          <w:noProof/>
          <w:color w:val="006666"/>
          <w:sz w:val="36"/>
          <w:szCs w:val="34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FFF6D3" wp14:editId="1580CC61">
                <wp:simplePos x="0" y="0"/>
                <wp:positionH relativeFrom="column">
                  <wp:posOffset>-188843</wp:posOffset>
                </wp:positionH>
                <wp:positionV relativeFrom="paragraph">
                  <wp:posOffset>204800</wp:posOffset>
                </wp:positionV>
                <wp:extent cx="5922645" cy="6456459"/>
                <wp:effectExtent l="0" t="0" r="20955" b="20955"/>
                <wp:wrapNone/>
                <wp:docPr id="231" name="Round Diagonal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645" cy="6456459"/>
                        </a:xfrm>
                        <a:prstGeom prst="round2DiagRect">
                          <a:avLst>
                            <a:gd name="adj1" fmla="val 14210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9BBFBB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2D560" w14:textId="77B4E0E3" w:rsidR="00856BE8" w:rsidRDefault="00296FAF" w:rsidP="00856BE8">
                            <w:pPr>
                              <w:jc w:val="center"/>
                            </w:pPr>
                            <w:r>
                              <w:rPr>
                                <w:rStyle w:val="nfase"/>
                                <w:rFonts w:asciiTheme="majorHAnsi" w:hAnsiTheme="majorHAnsi"/>
                                <w:b/>
                                <w:i w:val="0"/>
                                <w:color w:val="595959" w:themeColor="text1" w:themeTint="A6"/>
                                <w:sz w:val="28"/>
                                <w:szCs w:val="28"/>
                              </w:rPr>
                              <w:t>000000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FF6D3" id="Round Diagonal Corner Rectangle 11" o:spid="_x0000_s1026" style="position:absolute;left:0;text-align:left;margin-left:-14.85pt;margin-top:16.15pt;width:466.35pt;height:508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922645,64564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" adj="-11796480,,5400" path="m841608,l5922645,r,l5922645,5614851v,464807,-376801,841608,-841608,841608l,6456459r,l,841608c,376801,376801,,841608,xe" strokecolor="#9bbfbb">
                <v:stroke joinstyle="miter"/>
                <v:formulas/>
                <v:path arrowok="t" o:connecttype="custom" o:connectlocs="841608,0;5922645,0;5922645,0;5922645,5614851;5081037,6456459;0,6456459;0,6456459;0,841608;841608,0" o:connectangles="0,0,0,0,0,0,0,0,0" textboxrect="0,0,5922645,6456459"/>
                <v:textbox>
                  <w:txbxContent>
                    <w:p w14:paraId="3DB2D560" w14:textId="77B4E0E3" w:rsidR="00856BE8" w:rsidRDefault="00296FAF" w:rsidP="00856BE8">
                      <w:pPr>
                        <w:jc w:val="center"/>
                      </w:pPr>
                      <w:r>
                        <w:rPr>
                          <w:rStyle w:val="nfase"/>
                          <w:rFonts w:asciiTheme="majorHAnsi" w:hAnsiTheme="majorHAnsi"/>
                          <w:b/>
                          <w:i w:val="0"/>
                          <w:color w:val="595959" w:themeColor="text1" w:themeTint="A6"/>
                          <w:sz w:val="28"/>
                          <w:szCs w:val="28"/>
                        </w:rPr>
                        <w:t>000000</w:t>
                      </w:r>
                    </w:p>
                  </w:txbxContent>
                </v:textbox>
              </v:shape>
            </w:pict>
          </mc:Fallback>
        </mc:AlternateContent>
      </w:r>
      <w:r w:rsidR="00753B2D" w:rsidRPr="001F0301">
        <w:rPr>
          <w:rFonts w:ascii="Arial Narrow" w:hAnsi="Arial Narrow" w:cs="ArialNarrow-Bold"/>
          <w:b/>
          <w:bCs/>
          <w:noProof/>
          <w:color w:val="006666"/>
          <w:sz w:val="36"/>
          <w:szCs w:val="34"/>
          <w:lang w:val="pt-BR" w:eastAsia="pt-BR"/>
        </w:rPr>
        <w:drawing>
          <wp:anchor distT="0" distB="0" distL="114300" distR="114300" simplePos="0" relativeHeight="251665408" behindDoc="1" locked="0" layoutInCell="1" allowOverlap="1" wp14:anchorId="1209EFD7" wp14:editId="117BA174">
            <wp:simplePos x="0" y="0"/>
            <wp:positionH relativeFrom="column">
              <wp:posOffset>581025</wp:posOffset>
            </wp:positionH>
            <wp:positionV relativeFrom="paragraph">
              <wp:posOffset>234950</wp:posOffset>
            </wp:positionV>
            <wp:extent cx="5120005" cy="895350"/>
            <wp:effectExtent l="0" t="0" r="4445" b="0"/>
            <wp:wrapNone/>
            <wp:docPr id="23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9CEDD" w14:textId="2266E68E" w:rsidR="00233EAA" w:rsidRPr="00233EAA" w:rsidRDefault="00233EAA" w:rsidP="00F67694">
      <w:pPr>
        <w:pStyle w:val="BasicParagraph"/>
        <w:spacing w:line="240" w:lineRule="auto"/>
        <w:jc w:val="center"/>
        <w:rPr>
          <w:rFonts w:ascii="Arial Narrow" w:hAnsi="Arial Narrow" w:cs="ArialNarrow-Bold"/>
          <w:b/>
          <w:bCs/>
          <w:color w:val="235253"/>
          <w:sz w:val="20"/>
          <w:szCs w:val="34"/>
          <w:lang w:val="pt-BR"/>
        </w:rPr>
      </w:pPr>
    </w:p>
    <w:p w14:paraId="49A63733" w14:textId="70BC0622" w:rsidR="00F67694" w:rsidRPr="0028244B" w:rsidRDefault="008301A1" w:rsidP="00F67694">
      <w:pPr>
        <w:pStyle w:val="BasicParagraph"/>
        <w:spacing w:line="240" w:lineRule="auto"/>
        <w:jc w:val="center"/>
        <w:rPr>
          <w:rFonts w:ascii="Arial Narrow" w:hAnsi="Arial Narrow" w:cs="ArialNarrow-Bold"/>
          <w:b/>
          <w:bCs/>
          <w:color w:val="235253"/>
          <w:sz w:val="36"/>
          <w:szCs w:val="34"/>
          <w:lang w:val="pt-BR"/>
        </w:rPr>
      </w:pPr>
      <w:r>
        <w:rPr>
          <w:rFonts w:ascii="Arial Narrow" w:hAnsi="Arial Narrow" w:cs="ArialNarrow-Bold"/>
          <w:b/>
          <w:bCs/>
          <w:color w:val="235253"/>
          <w:sz w:val="36"/>
          <w:szCs w:val="34"/>
          <w:lang w:val="pt-BR"/>
        </w:rPr>
        <w:t xml:space="preserve">Santa Catarina </w:t>
      </w:r>
      <w:r w:rsidR="00E57E46">
        <w:rPr>
          <w:rFonts w:ascii="Arial Narrow" w:hAnsi="Arial Narrow" w:cs="ArialNarrow-Bold"/>
          <w:b/>
          <w:bCs/>
          <w:color w:val="235253"/>
          <w:sz w:val="36"/>
          <w:szCs w:val="34"/>
          <w:lang w:val="pt-BR"/>
        </w:rPr>
        <w:t>registra avanço de 3,2</w:t>
      </w:r>
      <w:r>
        <w:rPr>
          <w:rFonts w:ascii="Arial Narrow" w:hAnsi="Arial Narrow" w:cs="ArialNarrow-Bold"/>
          <w:b/>
          <w:bCs/>
          <w:color w:val="235253"/>
          <w:sz w:val="36"/>
          <w:szCs w:val="34"/>
          <w:lang w:val="pt-BR"/>
        </w:rPr>
        <w:t>% na atividade econômica</w:t>
      </w:r>
      <w:r w:rsidR="00E57E46">
        <w:rPr>
          <w:rFonts w:ascii="Arial Narrow" w:hAnsi="Arial Narrow" w:cs="ArialNarrow-Bold"/>
          <w:b/>
          <w:bCs/>
          <w:color w:val="235253"/>
          <w:sz w:val="36"/>
          <w:szCs w:val="34"/>
          <w:lang w:val="pt-BR"/>
        </w:rPr>
        <w:t xml:space="preserve"> do ano</w:t>
      </w:r>
    </w:p>
    <w:p w14:paraId="0C99B3FD" w14:textId="17DB4C2F" w:rsidR="00856BE8" w:rsidRPr="0058756C" w:rsidRDefault="00856BE8" w:rsidP="00856BE8">
      <w:pPr>
        <w:jc w:val="both"/>
        <w:rPr>
          <w:rFonts w:ascii="Arial Narrow" w:hAnsi="Arial Narrow"/>
          <w:i/>
        </w:rPr>
      </w:pPr>
    </w:p>
    <w:p w14:paraId="53088FF2" w14:textId="1D9243BC" w:rsidR="00076F55" w:rsidRPr="001F0301" w:rsidRDefault="00076F55" w:rsidP="00856BE8">
      <w:pPr>
        <w:pStyle w:val="BasicParagraph"/>
        <w:spacing w:line="240" w:lineRule="auto"/>
        <w:ind w:left="-284"/>
        <w:jc w:val="both"/>
        <w:outlineLvl w:val="0"/>
        <w:rPr>
          <w:rFonts w:ascii="Arial Narrow" w:eastAsia="Times New Roman" w:hAnsi="Arial Narrow" w:cs="Calibri"/>
          <w:i/>
          <w:iCs/>
          <w:lang w:val="pt-BR" w:eastAsia="pt-BR"/>
        </w:rPr>
      </w:pPr>
    </w:p>
    <w:p w14:paraId="6F8A73FD" w14:textId="54151F12" w:rsidR="002B3996" w:rsidRPr="002B3996" w:rsidRDefault="002B3996" w:rsidP="002B3996">
      <w:pPr>
        <w:jc w:val="both"/>
        <w:rPr>
          <w:rFonts w:ascii="Arial Narrow" w:hAnsi="Arial Narrow" w:cs="Arial"/>
          <w:i/>
          <w:iCs/>
          <w:sz w:val="28"/>
          <w:szCs w:val="28"/>
        </w:rPr>
      </w:pPr>
      <w:r w:rsidRPr="002B3996">
        <w:rPr>
          <w:rFonts w:ascii="Arial Narrow" w:hAnsi="Arial Narrow" w:cs="Arial"/>
          <w:i/>
          <w:iCs/>
          <w:sz w:val="28"/>
          <w:szCs w:val="28"/>
        </w:rPr>
        <w:t>O Índice de Atividade Econômica Regional de Santa Catarina (</w:t>
      </w:r>
      <w:proofErr w:type="spellStart"/>
      <w:r w:rsidRPr="002B3996">
        <w:rPr>
          <w:rFonts w:ascii="Arial Narrow" w:hAnsi="Arial Narrow" w:cs="Arial"/>
          <w:i/>
          <w:iCs/>
          <w:sz w:val="28"/>
          <w:szCs w:val="28"/>
        </w:rPr>
        <w:t>IBCr</w:t>
      </w:r>
      <w:proofErr w:type="spellEnd"/>
      <w:r w:rsidRPr="002B3996">
        <w:rPr>
          <w:rFonts w:ascii="Arial Narrow" w:hAnsi="Arial Narrow" w:cs="Arial"/>
          <w:i/>
          <w:iCs/>
          <w:sz w:val="28"/>
          <w:szCs w:val="28"/>
        </w:rPr>
        <w:t xml:space="preserve">-SC), calculado pelo Banco Central do Brasil e considerado como uma prévia do </w:t>
      </w:r>
      <w:r>
        <w:rPr>
          <w:rFonts w:ascii="Arial Narrow" w:hAnsi="Arial Narrow" w:cs="Arial"/>
          <w:i/>
          <w:iCs/>
          <w:sz w:val="28"/>
          <w:szCs w:val="28"/>
        </w:rPr>
        <w:t>PIB, caiu -0,1% na passagem de abril para m</w:t>
      </w:r>
      <w:r w:rsidRPr="002B3996">
        <w:rPr>
          <w:rFonts w:ascii="Arial Narrow" w:hAnsi="Arial Narrow" w:cs="Arial"/>
          <w:i/>
          <w:iCs/>
          <w:sz w:val="28"/>
          <w:szCs w:val="28"/>
        </w:rPr>
        <w:t>aio. No Brasil, houve avanço de 0,54% nesse comparativo. No ano, a atividade econômica de Santa Catarina cresce 3,18% contra 0,94% observado no Brasil.</w:t>
      </w:r>
    </w:p>
    <w:p w14:paraId="4A32CCA6" w14:textId="2341512D" w:rsidR="00885948" w:rsidRPr="00885948" w:rsidRDefault="00885948" w:rsidP="00885948">
      <w:pPr>
        <w:spacing w:line="276" w:lineRule="auto"/>
        <w:jc w:val="both"/>
        <w:rPr>
          <w:rFonts w:ascii="Arial Narrow" w:hAnsi="Arial Narrow" w:cs="Arial"/>
          <w:i/>
          <w:iCs/>
          <w:sz w:val="28"/>
          <w:szCs w:val="28"/>
        </w:rPr>
      </w:pPr>
    </w:p>
    <w:p w14:paraId="2241F122" w14:textId="56CC65DD" w:rsidR="00EE191B" w:rsidRDefault="00EE191B" w:rsidP="00233EAA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14:paraId="37E2C84E" w14:textId="77777777" w:rsidR="00EE191B" w:rsidRPr="0024317D" w:rsidRDefault="00EE191B" w:rsidP="00EE191B">
      <w:pPr>
        <w:jc w:val="both"/>
        <w:rPr>
          <w:rFonts w:ascii="Arial Narrow" w:hAnsi="Arial Narrow" w:cs="Arial"/>
          <w:b/>
          <w:sz w:val="28"/>
          <w:szCs w:val="28"/>
        </w:rPr>
      </w:pPr>
      <w:r w:rsidRPr="0024317D">
        <w:rPr>
          <w:rFonts w:ascii="Arial Narrow" w:hAnsi="Arial Narrow" w:cs="Arial"/>
          <w:b/>
          <w:sz w:val="28"/>
          <w:szCs w:val="28"/>
        </w:rPr>
        <w:t>Índice de Atividade Econômica – Brasil e Santa Catarina</w:t>
      </w:r>
    </w:p>
    <w:p w14:paraId="531198F9" w14:textId="5785511F" w:rsidR="00C31831" w:rsidRDefault="00EE191B" w:rsidP="00EE191B">
      <w:pPr>
        <w:jc w:val="both"/>
        <w:rPr>
          <w:rFonts w:ascii="Arial Narrow" w:hAnsi="Arial Narrow" w:cs="Arial"/>
          <w:i/>
        </w:rPr>
      </w:pPr>
      <w:r w:rsidRPr="00607CE3">
        <w:rPr>
          <w:rFonts w:ascii="Arial Narrow" w:hAnsi="Arial Narrow" w:cs="Arial"/>
          <w:i/>
        </w:rPr>
        <w:t>Série com ajuste sazonal</w:t>
      </w:r>
    </w:p>
    <w:p w14:paraId="708FDF4A" w14:textId="1C6C805F" w:rsidR="00AB71B9" w:rsidRDefault="00AB71B9" w:rsidP="00EE191B">
      <w:pPr>
        <w:jc w:val="both"/>
        <w:rPr>
          <w:rFonts w:ascii="Arial Narrow" w:hAnsi="Arial Narrow" w:cs="Arial"/>
          <w:i/>
        </w:rPr>
      </w:pPr>
      <w:r>
        <w:rPr>
          <w:noProof/>
          <w:lang w:eastAsia="pt-BR"/>
        </w:rPr>
        <w:drawing>
          <wp:inline distT="0" distB="0" distL="0" distR="0" wp14:anchorId="09858293" wp14:editId="526F6ACB">
            <wp:extent cx="5514975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8212E98-DCD3-4703-AA5B-1F17389675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22B1B1A" w14:textId="245BA173" w:rsidR="00EE191B" w:rsidRDefault="00EE191B" w:rsidP="00EE191B">
      <w:pPr>
        <w:jc w:val="both"/>
        <w:rPr>
          <w:rFonts w:ascii="Arial Narrow" w:hAnsi="Arial Narrow" w:cs="Arial"/>
          <w:i/>
        </w:rPr>
      </w:pPr>
    </w:p>
    <w:p w14:paraId="1ABB61DB" w14:textId="64550236" w:rsidR="00EE191B" w:rsidRDefault="00EE191B" w:rsidP="00EE191B">
      <w:pPr>
        <w:jc w:val="both"/>
        <w:rPr>
          <w:rFonts w:ascii="Arial Narrow" w:hAnsi="Arial Narrow" w:cs="Arial"/>
          <w:i/>
        </w:rPr>
      </w:pPr>
    </w:p>
    <w:p w14:paraId="21A5C4E2" w14:textId="77777777" w:rsidR="00EE191B" w:rsidRDefault="00EE191B" w:rsidP="00EE191B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1A2545">
        <w:rPr>
          <w:rFonts w:ascii="Arial Narrow" w:hAnsi="Arial Narrow" w:cs="Arial"/>
          <w:sz w:val="20"/>
          <w:szCs w:val="20"/>
        </w:rPr>
        <w:t>Fonte: BACEN/Observatório FIESC.</w:t>
      </w:r>
    </w:p>
    <w:p w14:paraId="7A6CB82E" w14:textId="77777777" w:rsidR="00EE191B" w:rsidRDefault="00EE191B" w:rsidP="00233EAA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14:paraId="633F253B" w14:textId="0884231A" w:rsidR="00233EAA" w:rsidRDefault="00233EAA" w:rsidP="00233EAA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14:paraId="504347AE" w14:textId="7EAC5ED7" w:rsidR="00233EAA" w:rsidRDefault="00233EAA" w:rsidP="00233EAA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14:paraId="35BF491B" w14:textId="061400C6" w:rsidR="00EE191B" w:rsidRDefault="00EE191B" w:rsidP="00233EAA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14:paraId="486E519E" w14:textId="77777777" w:rsidR="00EE191B" w:rsidRDefault="00EE191B" w:rsidP="00233EAA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14:paraId="26BAB5C2" w14:textId="77777777" w:rsidR="00233EAA" w:rsidRDefault="00233EAA" w:rsidP="00233EAA">
      <w:pPr>
        <w:spacing w:line="276" w:lineRule="auto"/>
        <w:jc w:val="both"/>
        <w:rPr>
          <w:rFonts w:ascii="Arial Narrow" w:eastAsia="MS Mincho" w:hAnsi="Arial Narrow" w:cs="ArialNarrow-Bold"/>
          <w:b/>
          <w:bCs/>
          <w:iCs/>
          <w:color w:val="1C6360"/>
          <w:sz w:val="20"/>
          <w:szCs w:val="20"/>
        </w:rPr>
      </w:pPr>
    </w:p>
    <w:p w14:paraId="3431F610" w14:textId="09BA3199" w:rsidR="00A77ACD" w:rsidRPr="00233EAA" w:rsidRDefault="00A77ACD" w:rsidP="00233EAA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14:paraId="7F357571" w14:textId="2E4CA0D3" w:rsidR="00D0519D" w:rsidRPr="00D0519D" w:rsidRDefault="00D0519D" w:rsidP="00D0519D">
      <w:pPr>
        <w:spacing w:line="276" w:lineRule="auto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0519D">
        <w:rPr>
          <w:rFonts w:ascii="Arial Narrow" w:hAnsi="Arial Narrow" w:cs="Arial"/>
          <w:color w:val="000000" w:themeColor="text1"/>
          <w:sz w:val="28"/>
          <w:szCs w:val="28"/>
        </w:rPr>
        <w:lastRenderedPageBreak/>
        <w:t xml:space="preserve">Quando comparado com </w:t>
      </w:r>
      <w:r>
        <w:rPr>
          <w:rFonts w:ascii="Arial Narrow" w:hAnsi="Arial Narrow" w:cs="Arial"/>
          <w:color w:val="000000" w:themeColor="text1"/>
          <w:sz w:val="28"/>
          <w:szCs w:val="28"/>
        </w:rPr>
        <w:t>m</w:t>
      </w:r>
      <w:r w:rsidRPr="00D0519D">
        <w:rPr>
          <w:rFonts w:ascii="Arial Narrow" w:hAnsi="Arial Narrow" w:cs="Arial"/>
          <w:color w:val="000000" w:themeColor="text1"/>
          <w:sz w:val="28"/>
          <w:szCs w:val="28"/>
        </w:rPr>
        <w:t>aio de 2018, a atividade econômica de Santa Catarina cresceu 8,11%. Os números do Banco Central ainda mostram que, no acumulado do ano, o indicador do nível de atividade catarinense registrou uma expansão de 3,18%. No c</w:t>
      </w:r>
      <w:r>
        <w:rPr>
          <w:rFonts w:ascii="Arial Narrow" w:hAnsi="Arial Narrow" w:cs="Arial"/>
          <w:color w:val="000000" w:themeColor="text1"/>
          <w:sz w:val="28"/>
          <w:szCs w:val="28"/>
        </w:rPr>
        <w:t>enário nacional, a variação de janeiro a m</w:t>
      </w:r>
      <w:r w:rsidRPr="00D0519D">
        <w:rPr>
          <w:rFonts w:ascii="Arial Narrow" w:hAnsi="Arial Narrow" w:cs="Arial"/>
          <w:color w:val="000000" w:themeColor="text1"/>
          <w:sz w:val="28"/>
          <w:szCs w:val="28"/>
        </w:rPr>
        <w:t>aio de 2019 em relação ao mesmo período do ano anterior foi de 0,94%, na série sem ajustes sazonais</w:t>
      </w:r>
    </w:p>
    <w:p w14:paraId="061DE3CD" w14:textId="77777777" w:rsidR="00501509" w:rsidRDefault="00501509" w:rsidP="00233EAA">
      <w:pPr>
        <w:spacing w:line="276" w:lineRule="auto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tbl>
      <w:tblPr>
        <w:tblW w:w="8559" w:type="dxa"/>
        <w:jc w:val="center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527"/>
        <w:gridCol w:w="1128"/>
        <w:gridCol w:w="904"/>
      </w:tblGrid>
      <w:tr w:rsidR="00EE191B" w:rsidRPr="00BC1089" w14:paraId="4E0EFAC4" w14:textId="77777777" w:rsidTr="00501509">
        <w:trPr>
          <w:trHeight w:val="563"/>
          <w:jc w:val="center"/>
        </w:trPr>
        <w:tc>
          <w:tcPr>
            <w:tcW w:w="6527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17365D" w:themeFill="text2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AB1DB" w14:textId="77777777" w:rsidR="00EE191B" w:rsidRPr="00233EAA" w:rsidRDefault="00EE191B" w:rsidP="001453AC">
            <w:pPr>
              <w:jc w:val="center"/>
              <w:rPr>
                <w:rFonts w:ascii="Arial Narrow" w:hAnsi="Arial Narrow" w:cs="Calibri"/>
                <w:color w:val="FFFFFF" w:themeColor="background1"/>
                <w:sz w:val="28"/>
                <w:szCs w:val="28"/>
              </w:rPr>
            </w:pPr>
            <w:r w:rsidRPr="00233EAA">
              <w:rPr>
                <w:rFonts w:ascii="Arial Narrow" w:hAnsi="Arial Narrow" w:cs="Calibri"/>
                <w:b/>
                <w:bCs/>
                <w:color w:val="FFFFFF" w:themeColor="background1"/>
                <w:sz w:val="28"/>
                <w:szCs w:val="28"/>
              </w:rPr>
              <w:t>PERÍODO</w:t>
            </w:r>
          </w:p>
        </w:tc>
        <w:tc>
          <w:tcPr>
            <w:tcW w:w="1128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17365D" w:themeFill="text2" w:themeFillShade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5D688" w14:textId="77777777" w:rsidR="00EE191B" w:rsidRPr="00233EAA" w:rsidRDefault="00EE191B" w:rsidP="001453AC">
            <w:pPr>
              <w:ind w:right="-57"/>
              <w:jc w:val="center"/>
              <w:rPr>
                <w:rFonts w:ascii="Arial Narrow" w:hAnsi="Arial Narrow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233EAA">
              <w:rPr>
                <w:rFonts w:ascii="Arial Narrow" w:hAnsi="Arial Narrow" w:cs="Calibri"/>
                <w:b/>
                <w:bCs/>
                <w:color w:val="FFFFFF" w:themeColor="background1"/>
                <w:sz w:val="28"/>
                <w:szCs w:val="28"/>
              </w:rPr>
              <w:t>SC</w:t>
            </w:r>
          </w:p>
        </w:tc>
        <w:tc>
          <w:tcPr>
            <w:tcW w:w="904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17365D" w:themeFill="text2" w:themeFillShade="BF"/>
            <w:vAlign w:val="center"/>
          </w:tcPr>
          <w:p w14:paraId="07E3ED30" w14:textId="77777777" w:rsidR="00EE191B" w:rsidRPr="00233EAA" w:rsidRDefault="00EE191B" w:rsidP="001453AC">
            <w:pPr>
              <w:ind w:right="-57"/>
              <w:jc w:val="center"/>
              <w:rPr>
                <w:rFonts w:ascii="Arial Narrow" w:hAnsi="Arial Narrow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233EAA">
              <w:rPr>
                <w:rFonts w:ascii="Arial Narrow" w:hAnsi="Arial Narrow" w:cs="Calibri"/>
                <w:b/>
                <w:bCs/>
                <w:color w:val="FFFFFF" w:themeColor="background1"/>
                <w:sz w:val="28"/>
                <w:szCs w:val="28"/>
              </w:rPr>
              <w:t>BR</w:t>
            </w:r>
          </w:p>
        </w:tc>
      </w:tr>
      <w:tr w:rsidR="00D0519D" w:rsidRPr="00BC1089" w14:paraId="6E976B3D" w14:textId="77777777" w:rsidTr="00501509">
        <w:trPr>
          <w:trHeight w:val="563"/>
          <w:jc w:val="center"/>
        </w:trPr>
        <w:tc>
          <w:tcPr>
            <w:tcW w:w="6527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7111D" w14:textId="0E74A29E" w:rsidR="00D0519D" w:rsidRPr="00BC1089" w:rsidRDefault="00D0519D" w:rsidP="00D0519D">
            <w:pPr>
              <w:rPr>
                <w:rFonts w:ascii="Arial Narrow" w:eastAsia="Times New Roman" w:hAnsi="Arial Narrow" w:cs="Arial"/>
                <w:color w:val="0D0D0D" w:themeColor="text1" w:themeTint="F2"/>
                <w:sz w:val="28"/>
                <w:szCs w:val="28"/>
                <w:lang w:eastAsia="pt-BR"/>
              </w:rPr>
            </w:pPr>
            <w:r>
              <w:rPr>
                <w:rFonts w:ascii="Arial Narrow" w:hAnsi="Arial Narrow" w:cs="Calibri"/>
                <w:color w:val="0D0D0D"/>
                <w:sz w:val="28"/>
                <w:szCs w:val="28"/>
              </w:rPr>
              <w:t>Maio 2019 / Abril 2019*</w:t>
            </w:r>
          </w:p>
        </w:tc>
        <w:tc>
          <w:tcPr>
            <w:tcW w:w="1128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84C32" w14:textId="2FEF5F44" w:rsidR="00D0519D" w:rsidRPr="00C7722E" w:rsidRDefault="00D0519D" w:rsidP="00D0519D">
            <w:pPr>
              <w:jc w:val="center"/>
              <w:rPr>
                <w:rFonts w:ascii="Arial Narrow" w:eastAsia="Times New Roman" w:hAnsi="Arial Narrow" w:cs="Arial"/>
                <w:b/>
                <w:color w:val="0D0D0D" w:themeColor="text1" w:themeTint="F2"/>
                <w:sz w:val="28"/>
                <w:szCs w:val="28"/>
                <w:lang w:eastAsia="pt-BR"/>
              </w:rPr>
            </w:pPr>
            <w:r>
              <w:rPr>
                <w:rFonts w:ascii="Arial Narrow" w:hAnsi="Arial Narrow" w:cs="Calibri"/>
                <w:b/>
                <w:bCs/>
                <w:color w:val="0D0D0D"/>
                <w:sz w:val="28"/>
                <w:szCs w:val="28"/>
              </w:rPr>
              <w:t>-0,10</w:t>
            </w:r>
          </w:p>
        </w:tc>
        <w:tc>
          <w:tcPr>
            <w:tcW w:w="904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FD8A7" w14:textId="180BA1F6" w:rsidR="00D0519D" w:rsidRPr="00C7722E" w:rsidRDefault="00D0519D" w:rsidP="00D0519D">
            <w:pPr>
              <w:jc w:val="center"/>
              <w:rPr>
                <w:rFonts w:ascii="Arial Narrow" w:eastAsia="Times New Roman" w:hAnsi="Arial Narrow" w:cs="Arial"/>
                <w:b/>
                <w:color w:val="0D0D0D" w:themeColor="text1" w:themeTint="F2"/>
                <w:sz w:val="28"/>
                <w:szCs w:val="28"/>
                <w:lang w:eastAsia="pt-BR"/>
              </w:rPr>
            </w:pPr>
            <w:r>
              <w:rPr>
                <w:rFonts w:ascii="Arial Narrow" w:hAnsi="Arial Narrow" w:cs="Calibri"/>
                <w:b/>
                <w:bCs/>
                <w:color w:val="0D0D0D"/>
                <w:sz w:val="28"/>
                <w:szCs w:val="28"/>
              </w:rPr>
              <w:t>0,54</w:t>
            </w:r>
          </w:p>
        </w:tc>
      </w:tr>
      <w:tr w:rsidR="00D0519D" w:rsidRPr="00BC1089" w14:paraId="48D23114" w14:textId="77777777" w:rsidTr="00501509">
        <w:trPr>
          <w:trHeight w:val="494"/>
          <w:jc w:val="center"/>
        </w:trPr>
        <w:tc>
          <w:tcPr>
            <w:tcW w:w="6527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E491" w14:textId="6CE350C5" w:rsidR="00D0519D" w:rsidRPr="00BC1089" w:rsidRDefault="00D0519D" w:rsidP="00D0519D">
            <w:pPr>
              <w:rPr>
                <w:rFonts w:ascii="Arial Narrow" w:eastAsia="Times New Roman" w:hAnsi="Arial Narrow" w:cs="Arial"/>
                <w:color w:val="0D0D0D" w:themeColor="text1" w:themeTint="F2"/>
                <w:sz w:val="28"/>
                <w:szCs w:val="28"/>
                <w:lang w:eastAsia="pt-BR"/>
              </w:rPr>
            </w:pPr>
            <w:r>
              <w:rPr>
                <w:rFonts w:ascii="Arial Narrow" w:hAnsi="Arial Narrow" w:cs="Calibri"/>
                <w:color w:val="0D0D0D"/>
                <w:sz w:val="28"/>
                <w:szCs w:val="28"/>
              </w:rPr>
              <w:t>Maio 2019 / Maio 2018</w:t>
            </w:r>
          </w:p>
        </w:tc>
        <w:tc>
          <w:tcPr>
            <w:tcW w:w="1128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26D9D" w14:textId="4604C501" w:rsidR="00D0519D" w:rsidRPr="00C7722E" w:rsidRDefault="00D0519D" w:rsidP="00D0519D">
            <w:pPr>
              <w:jc w:val="center"/>
              <w:rPr>
                <w:rFonts w:ascii="Arial Narrow" w:eastAsia="Times New Roman" w:hAnsi="Arial Narrow" w:cs="Arial"/>
                <w:b/>
                <w:color w:val="0D0D0D" w:themeColor="text1" w:themeTint="F2"/>
                <w:sz w:val="28"/>
                <w:szCs w:val="28"/>
                <w:lang w:eastAsia="pt-BR"/>
              </w:rPr>
            </w:pPr>
            <w:r>
              <w:rPr>
                <w:rFonts w:ascii="Arial Narrow" w:hAnsi="Arial Narrow" w:cs="Calibri"/>
                <w:b/>
                <w:bCs/>
                <w:color w:val="0D0D0D"/>
                <w:sz w:val="28"/>
                <w:szCs w:val="28"/>
              </w:rPr>
              <w:t>8,11</w:t>
            </w:r>
          </w:p>
        </w:tc>
        <w:tc>
          <w:tcPr>
            <w:tcW w:w="904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3D8D4" w14:textId="595BCE46" w:rsidR="00D0519D" w:rsidRPr="00C7722E" w:rsidRDefault="00D0519D" w:rsidP="00D0519D">
            <w:pPr>
              <w:jc w:val="center"/>
              <w:rPr>
                <w:rFonts w:ascii="Arial Narrow" w:eastAsia="Times New Roman" w:hAnsi="Arial Narrow" w:cs="Arial"/>
                <w:b/>
                <w:color w:val="0D0D0D" w:themeColor="text1" w:themeTint="F2"/>
                <w:sz w:val="28"/>
                <w:szCs w:val="28"/>
                <w:lang w:eastAsia="pt-BR"/>
              </w:rPr>
            </w:pPr>
            <w:r>
              <w:rPr>
                <w:rFonts w:ascii="Arial Narrow" w:hAnsi="Arial Narrow" w:cs="Calibri"/>
                <w:b/>
                <w:bCs/>
                <w:color w:val="0D0D0D"/>
                <w:sz w:val="28"/>
                <w:szCs w:val="28"/>
              </w:rPr>
              <w:t>4,40</w:t>
            </w:r>
          </w:p>
        </w:tc>
      </w:tr>
      <w:tr w:rsidR="00D0519D" w:rsidRPr="00BC1089" w14:paraId="7F1DD7D7" w14:textId="77777777" w:rsidTr="00501509">
        <w:trPr>
          <w:trHeight w:val="506"/>
          <w:jc w:val="center"/>
        </w:trPr>
        <w:tc>
          <w:tcPr>
            <w:tcW w:w="6527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B40B" w14:textId="0D80CC67" w:rsidR="00D0519D" w:rsidRPr="00BC1089" w:rsidRDefault="00D0519D" w:rsidP="00D0519D">
            <w:pPr>
              <w:rPr>
                <w:rFonts w:ascii="Arial Narrow" w:eastAsia="Times New Roman" w:hAnsi="Arial Narrow" w:cs="Arial"/>
                <w:color w:val="0D0D0D" w:themeColor="text1" w:themeTint="F2"/>
                <w:sz w:val="28"/>
                <w:szCs w:val="28"/>
                <w:lang w:eastAsia="pt-BR"/>
              </w:rPr>
            </w:pPr>
            <w:r>
              <w:rPr>
                <w:rFonts w:ascii="Arial Narrow" w:hAnsi="Arial Narrow" w:cs="Calibri"/>
                <w:color w:val="0D0D0D"/>
                <w:sz w:val="28"/>
                <w:szCs w:val="28"/>
              </w:rPr>
              <w:t>Jan-Mai 2019 / Jan-Mai 2018</w:t>
            </w:r>
          </w:p>
        </w:tc>
        <w:tc>
          <w:tcPr>
            <w:tcW w:w="1128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4D36D" w14:textId="07B3B768" w:rsidR="00D0519D" w:rsidRPr="00C7722E" w:rsidRDefault="00D0519D" w:rsidP="00D0519D">
            <w:pPr>
              <w:jc w:val="center"/>
              <w:rPr>
                <w:rFonts w:ascii="Arial Narrow" w:eastAsia="Times New Roman" w:hAnsi="Arial Narrow" w:cs="Arial"/>
                <w:b/>
                <w:color w:val="0D0D0D" w:themeColor="text1" w:themeTint="F2"/>
                <w:sz w:val="28"/>
                <w:szCs w:val="28"/>
                <w:lang w:eastAsia="pt-BR"/>
              </w:rPr>
            </w:pPr>
            <w:r>
              <w:rPr>
                <w:rFonts w:ascii="Arial Narrow" w:hAnsi="Arial Narrow" w:cs="Calibri"/>
                <w:b/>
                <w:bCs/>
                <w:color w:val="0D0D0D"/>
                <w:sz w:val="28"/>
                <w:szCs w:val="28"/>
              </w:rPr>
              <w:t>3,18</w:t>
            </w:r>
          </w:p>
        </w:tc>
        <w:tc>
          <w:tcPr>
            <w:tcW w:w="904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DBE5F1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FD6BC" w14:textId="6D34A972" w:rsidR="00D0519D" w:rsidRPr="00C7722E" w:rsidRDefault="00D0519D" w:rsidP="00D0519D">
            <w:pPr>
              <w:jc w:val="center"/>
              <w:rPr>
                <w:rFonts w:ascii="Arial Narrow" w:eastAsia="Times New Roman" w:hAnsi="Arial Narrow" w:cs="Arial"/>
                <w:b/>
                <w:color w:val="0D0D0D" w:themeColor="text1" w:themeTint="F2"/>
                <w:sz w:val="28"/>
                <w:szCs w:val="28"/>
                <w:lang w:eastAsia="pt-BR"/>
              </w:rPr>
            </w:pPr>
            <w:r>
              <w:rPr>
                <w:rFonts w:ascii="Arial Narrow" w:hAnsi="Arial Narrow" w:cs="Calibri"/>
                <w:b/>
                <w:bCs/>
                <w:color w:val="0D0D0D"/>
                <w:sz w:val="28"/>
                <w:szCs w:val="28"/>
              </w:rPr>
              <w:t>0,94</w:t>
            </w:r>
          </w:p>
        </w:tc>
      </w:tr>
    </w:tbl>
    <w:p w14:paraId="36EE4286" w14:textId="77777777" w:rsidR="00EE191B" w:rsidRPr="001A2545" w:rsidRDefault="00EE191B" w:rsidP="00EE191B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1A2545">
        <w:rPr>
          <w:rFonts w:ascii="Arial Narrow" w:hAnsi="Arial Narrow" w:cs="Arial"/>
          <w:sz w:val="20"/>
          <w:szCs w:val="20"/>
        </w:rPr>
        <w:t>Fonte: BACEN, Observatório FIESC.</w:t>
      </w:r>
    </w:p>
    <w:p w14:paraId="14870E39" w14:textId="25B6A58B" w:rsidR="00EE191B" w:rsidRDefault="00EE191B" w:rsidP="00233EAA">
      <w:pPr>
        <w:spacing w:line="276" w:lineRule="auto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</w:p>
    <w:p w14:paraId="328E12AA" w14:textId="1F4BED17" w:rsidR="00257C2F" w:rsidRDefault="00257C2F" w:rsidP="00233EAA">
      <w:pPr>
        <w:spacing w:line="276" w:lineRule="auto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Na </w:t>
      </w:r>
      <w:r w:rsidRPr="008301A1">
        <w:rPr>
          <w:rFonts w:ascii="Arial Narrow" w:hAnsi="Arial Narrow" w:cs="Arial"/>
          <w:color w:val="000000" w:themeColor="text1"/>
          <w:sz w:val="28"/>
          <w:szCs w:val="28"/>
        </w:rPr>
        <w:t xml:space="preserve">série </w:t>
      </w:r>
      <w:r w:rsidR="008301A1">
        <w:rPr>
          <w:rFonts w:ascii="Arial Narrow" w:hAnsi="Arial Narrow" w:cs="Arial"/>
          <w:color w:val="000000" w:themeColor="text1"/>
          <w:sz w:val="28"/>
          <w:szCs w:val="28"/>
        </w:rPr>
        <w:t>com</w:t>
      </w:r>
      <w:r w:rsidRPr="008301A1">
        <w:rPr>
          <w:rFonts w:ascii="Arial Narrow" w:hAnsi="Arial Narrow" w:cs="Arial"/>
          <w:color w:val="000000" w:themeColor="text1"/>
          <w:sz w:val="28"/>
          <w:szCs w:val="28"/>
        </w:rPr>
        <w:t xml:space="preserve"> ajuste sazonal</w:t>
      </w:r>
      <w:r w:rsidR="00A158FE" w:rsidRPr="008301A1">
        <w:rPr>
          <w:rFonts w:ascii="Arial Narrow" w:hAnsi="Arial Narrow" w:cs="Arial"/>
          <w:color w:val="000000" w:themeColor="text1"/>
          <w:sz w:val="28"/>
          <w:szCs w:val="28"/>
        </w:rPr>
        <w:t>,</w:t>
      </w:r>
      <w:r w:rsidRPr="008301A1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="008301A1">
        <w:rPr>
          <w:rFonts w:ascii="Arial Narrow" w:hAnsi="Arial Narrow" w:cs="Arial"/>
          <w:color w:val="000000" w:themeColor="text1"/>
          <w:sz w:val="28"/>
          <w:szCs w:val="28"/>
        </w:rPr>
        <w:t xml:space="preserve">em </w:t>
      </w:r>
      <w:r w:rsidR="00925D0D">
        <w:rPr>
          <w:rFonts w:ascii="Arial Narrow" w:hAnsi="Arial Narrow" w:cs="Arial"/>
          <w:color w:val="000000" w:themeColor="text1"/>
          <w:sz w:val="28"/>
          <w:szCs w:val="28"/>
        </w:rPr>
        <w:t>maio</w:t>
      </w:r>
      <w:r w:rsidR="008301A1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="00753B2D" w:rsidRPr="008301A1">
        <w:rPr>
          <w:rFonts w:ascii="Arial Narrow" w:hAnsi="Arial Narrow" w:cs="Arial"/>
          <w:color w:val="000000" w:themeColor="text1"/>
          <w:sz w:val="28"/>
          <w:szCs w:val="28"/>
        </w:rPr>
        <w:t>o indicador</w:t>
      </w:r>
      <w:r w:rsidR="008301A1">
        <w:rPr>
          <w:rFonts w:ascii="Arial Narrow" w:hAnsi="Arial Narrow" w:cs="Arial"/>
          <w:color w:val="000000" w:themeColor="text1"/>
          <w:sz w:val="28"/>
          <w:szCs w:val="28"/>
        </w:rPr>
        <w:t xml:space="preserve"> catarinense</w:t>
      </w:r>
      <w:r w:rsidR="00753B2D" w:rsidRPr="008301A1">
        <w:rPr>
          <w:rFonts w:ascii="Arial Narrow" w:hAnsi="Arial Narrow" w:cs="Arial"/>
          <w:color w:val="000000" w:themeColor="text1"/>
          <w:sz w:val="28"/>
          <w:szCs w:val="28"/>
        </w:rPr>
        <w:t xml:space="preserve"> r</w:t>
      </w:r>
      <w:r w:rsidRPr="008301A1">
        <w:rPr>
          <w:rFonts w:ascii="Arial Narrow" w:hAnsi="Arial Narrow" w:cs="Arial"/>
          <w:color w:val="000000" w:themeColor="text1"/>
          <w:sz w:val="28"/>
          <w:szCs w:val="28"/>
        </w:rPr>
        <w:t>egistrou</w:t>
      </w:r>
      <w:r w:rsidR="008301A1">
        <w:rPr>
          <w:rFonts w:ascii="Arial Narrow" w:hAnsi="Arial Narrow" w:cs="Arial"/>
          <w:color w:val="000000" w:themeColor="text1"/>
          <w:sz w:val="28"/>
          <w:szCs w:val="28"/>
        </w:rPr>
        <w:t xml:space="preserve"> o </w:t>
      </w:r>
      <w:r w:rsidR="00925D0D">
        <w:rPr>
          <w:rFonts w:ascii="Arial Narrow" w:hAnsi="Arial Narrow" w:cs="Arial"/>
          <w:color w:val="000000" w:themeColor="text1"/>
          <w:sz w:val="28"/>
          <w:szCs w:val="28"/>
        </w:rPr>
        <w:t>oitavo maior valor (145,01</w:t>
      </w:r>
      <w:r w:rsidR="008301A1">
        <w:rPr>
          <w:rFonts w:ascii="Arial Narrow" w:hAnsi="Arial Narrow" w:cs="Arial"/>
          <w:color w:val="000000" w:themeColor="text1"/>
          <w:sz w:val="28"/>
          <w:szCs w:val="28"/>
        </w:rPr>
        <w:t xml:space="preserve">) </w:t>
      </w:r>
      <w:r w:rsidR="00D46C3A" w:rsidRPr="008301A1">
        <w:rPr>
          <w:rFonts w:ascii="Arial Narrow" w:hAnsi="Arial Narrow" w:cs="Arial"/>
          <w:color w:val="000000" w:themeColor="text1"/>
          <w:sz w:val="28"/>
          <w:szCs w:val="28"/>
        </w:rPr>
        <w:t>desde o início da série histórica, iniciada em janeiro de 2003.</w:t>
      </w:r>
      <w:r w:rsidR="00D46C3A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</w:p>
    <w:p w14:paraId="57B537FF" w14:textId="6B769DDB" w:rsidR="00AC76AC" w:rsidRDefault="00AC76AC" w:rsidP="00233EAA">
      <w:pPr>
        <w:spacing w:line="276" w:lineRule="auto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4F198A6A" w14:textId="219FE2AD" w:rsidR="00EE191B" w:rsidRDefault="00014219" w:rsidP="00233EAA">
      <w:pPr>
        <w:spacing w:line="276" w:lineRule="auto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color w:val="000000" w:themeColor="text1"/>
          <w:sz w:val="28"/>
          <w:szCs w:val="28"/>
        </w:rPr>
        <w:t>Entre</w:t>
      </w:r>
      <w:r w:rsidR="00EE191B" w:rsidRPr="00C70215">
        <w:rPr>
          <w:rFonts w:ascii="Arial Narrow" w:hAnsi="Arial Narrow" w:cs="Arial"/>
          <w:color w:val="000000" w:themeColor="text1"/>
          <w:sz w:val="28"/>
          <w:szCs w:val="28"/>
        </w:rPr>
        <w:t xml:space="preserve"> as Regiões, </w:t>
      </w:r>
      <w:r w:rsidR="00EE191B">
        <w:rPr>
          <w:rFonts w:ascii="Arial Narrow" w:hAnsi="Arial Narrow" w:cs="Arial"/>
          <w:color w:val="000000" w:themeColor="text1"/>
          <w:sz w:val="28"/>
          <w:szCs w:val="28"/>
        </w:rPr>
        <w:t>destaca-se positivamente no ano o crescimento dos estados d</w:t>
      </w:r>
      <w:r w:rsidR="003B2E0B">
        <w:rPr>
          <w:rFonts w:ascii="Arial Narrow" w:hAnsi="Arial Narrow" w:cs="Arial"/>
          <w:color w:val="000000" w:themeColor="text1"/>
          <w:sz w:val="28"/>
          <w:szCs w:val="28"/>
        </w:rPr>
        <w:t xml:space="preserve">a Região </w:t>
      </w:r>
      <w:r w:rsidR="00EE191B">
        <w:rPr>
          <w:rFonts w:ascii="Arial Narrow" w:hAnsi="Arial Narrow" w:cs="Arial"/>
          <w:color w:val="000000" w:themeColor="text1"/>
          <w:sz w:val="28"/>
          <w:szCs w:val="28"/>
        </w:rPr>
        <w:t>Sul, que</w:t>
      </w:r>
      <w:r w:rsidR="00EE191B" w:rsidRPr="00C70215">
        <w:rPr>
          <w:rFonts w:ascii="Arial Narrow" w:hAnsi="Arial Narrow" w:cs="Arial"/>
          <w:color w:val="000000" w:themeColor="text1"/>
          <w:sz w:val="28"/>
          <w:szCs w:val="28"/>
        </w:rPr>
        <w:t xml:space="preserve"> cresce </w:t>
      </w:r>
      <w:r w:rsidR="00DC2CAB">
        <w:rPr>
          <w:rFonts w:ascii="Arial Narrow" w:hAnsi="Arial Narrow" w:cs="Arial"/>
          <w:color w:val="000000" w:themeColor="text1"/>
          <w:sz w:val="28"/>
          <w:szCs w:val="28"/>
        </w:rPr>
        <w:t>3,44</w:t>
      </w:r>
      <w:r w:rsidR="00EE191B">
        <w:rPr>
          <w:rFonts w:ascii="Arial Narrow" w:hAnsi="Arial Narrow" w:cs="Arial"/>
          <w:color w:val="000000" w:themeColor="text1"/>
          <w:sz w:val="28"/>
          <w:szCs w:val="28"/>
        </w:rPr>
        <w:t>%</w:t>
      </w:r>
      <w:r w:rsidR="003B2E0B">
        <w:rPr>
          <w:rFonts w:ascii="Arial Narrow" w:hAnsi="Arial Narrow" w:cs="Arial"/>
          <w:color w:val="000000" w:themeColor="text1"/>
          <w:sz w:val="28"/>
          <w:szCs w:val="28"/>
        </w:rPr>
        <w:t xml:space="preserve"> e posiciona-se</w:t>
      </w:r>
      <w:r w:rsidR="00EE191B">
        <w:rPr>
          <w:rFonts w:ascii="Arial Narrow" w:hAnsi="Arial Narrow" w:cs="Arial"/>
          <w:color w:val="000000" w:themeColor="text1"/>
          <w:sz w:val="28"/>
          <w:szCs w:val="28"/>
        </w:rPr>
        <w:t xml:space="preserve"> à frente da</w:t>
      </w:r>
      <w:r w:rsidR="003B2E0B">
        <w:rPr>
          <w:rFonts w:ascii="Arial Narrow" w:hAnsi="Arial Narrow" w:cs="Arial"/>
          <w:color w:val="000000" w:themeColor="text1"/>
          <w:sz w:val="28"/>
          <w:szCs w:val="28"/>
        </w:rPr>
        <w:t>s Regiões</w:t>
      </w:r>
      <w:r w:rsidR="00EE191B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="00EB37E2">
        <w:rPr>
          <w:rFonts w:ascii="Arial Narrow" w:hAnsi="Arial Narrow" w:cs="Arial"/>
          <w:color w:val="000000" w:themeColor="text1"/>
          <w:sz w:val="28"/>
          <w:szCs w:val="28"/>
        </w:rPr>
        <w:t>Sudeste</w:t>
      </w:r>
      <w:r w:rsidR="00EE191B" w:rsidRPr="00C70215">
        <w:rPr>
          <w:rFonts w:ascii="Arial Narrow" w:hAnsi="Arial Narrow" w:cs="Arial"/>
          <w:color w:val="000000" w:themeColor="text1"/>
          <w:sz w:val="28"/>
          <w:szCs w:val="28"/>
        </w:rPr>
        <w:t xml:space="preserve"> (</w:t>
      </w:r>
      <w:r w:rsidR="00DC2CAB">
        <w:rPr>
          <w:rFonts w:ascii="Arial Narrow" w:hAnsi="Arial Narrow" w:cs="Arial"/>
          <w:color w:val="000000" w:themeColor="text1"/>
          <w:sz w:val="28"/>
          <w:szCs w:val="28"/>
        </w:rPr>
        <w:t>2,29</w:t>
      </w:r>
      <w:r w:rsidR="00EE191B">
        <w:rPr>
          <w:rFonts w:ascii="Arial Narrow" w:hAnsi="Arial Narrow" w:cs="Arial"/>
          <w:color w:val="000000" w:themeColor="text1"/>
          <w:sz w:val="28"/>
          <w:szCs w:val="28"/>
        </w:rPr>
        <w:t>%) e</w:t>
      </w:r>
      <w:r w:rsidR="00EE191B" w:rsidRPr="00C70215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="00DC2CAB">
        <w:rPr>
          <w:rFonts w:ascii="Arial Narrow" w:hAnsi="Arial Narrow" w:cs="Arial"/>
          <w:color w:val="000000" w:themeColor="text1"/>
          <w:sz w:val="28"/>
          <w:szCs w:val="28"/>
        </w:rPr>
        <w:t>Centro-Oeste</w:t>
      </w:r>
      <w:r w:rsidR="00DC2CAB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color w:val="000000" w:themeColor="text1"/>
          <w:sz w:val="28"/>
          <w:szCs w:val="28"/>
        </w:rPr>
        <w:t>(</w:t>
      </w:r>
      <w:r w:rsidR="00DC2CAB">
        <w:rPr>
          <w:rFonts w:ascii="Arial Narrow" w:hAnsi="Arial Narrow" w:cs="Arial"/>
          <w:color w:val="000000" w:themeColor="text1"/>
          <w:sz w:val="28"/>
          <w:szCs w:val="28"/>
        </w:rPr>
        <w:t>1,54</w:t>
      </w:r>
      <w:r w:rsidR="00EE191B" w:rsidRPr="00C70215">
        <w:rPr>
          <w:rFonts w:ascii="Arial Narrow" w:hAnsi="Arial Narrow" w:cs="Arial"/>
          <w:color w:val="000000" w:themeColor="text1"/>
          <w:sz w:val="28"/>
          <w:szCs w:val="28"/>
        </w:rPr>
        <w:t>%)</w:t>
      </w:r>
      <w:r w:rsidR="00DC2CAB">
        <w:rPr>
          <w:rFonts w:ascii="Arial Narrow" w:hAnsi="Arial Narrow" w:cs="Arial"/>
          <w:color w:val="000000" w:themeColor="text1"/>
          <w:sz w:val="28"/>
          <w:szCs w:val="28"/>
        </w:rPr>
        <w:t xml:space="preserve">. </w:t>
      </w:r>
      <w:r w:rsidR="00EE191B">
        <w:rPr>
          <w:rFonts w:ascii="Arial Narrow" w:hAnsi="Arial Narrow" w:cs="Arial"/>
          <w:color w:val="000000" w:themeColor="text1"/>
          <w:sz w:val="28"/>
          <w:szCs w:val="28"/>
        </w:rPr>
        <w:t xml:space="preserve">Por fim, as </w:t>
      </w:r>
      <w:r w:rsidR="00DC2CAB">
        <w:rPr>
          <w:rFonts w:ascii="Arial Narrow" w:hAnsi="Arial Narrow" w:cs="Arial"/>
          <w:color w:val="000000" w:themeColor="text1"/>
          <w:sz w:val="28"/>
          <w:szCs w:val="28"/>
        </w:rPr>
        <w:t>Norte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e </w:t>
      </w:r>
      <w:r w:rsidR="003B7432">
        <w:rPr>
          <w:rFonts w:ascii="Arial Narrow" w:hAnsi="Arial Narrow" w:cs="Arial"/>
          <w:color w:val="000000" w:themeColor="text1"/>
          <w:sz w:val="28"/>
          <w:szCs w:val="28"/>
        </w:rPr>
        <w:t>Nordeste</w:t>
      </w:r>
      <w:r w:rsidR="00EE191B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color w:val="000000" w:themeColor="text1"/>
          <w:sz w:val="28"/>
          <w:szCs w:val="28"/>
        </w:rPr>
        <w:t>apresentaram as menores variações no ano (</w:t>
      </w:r>
      <w:r w:rsidR="00DC2CAB">
        <w:rPr>
          <w:rFonts w:ascii="Arial Narrow" w:hAnsi="Arial Narrow" w:cs="Arial"/>
          <w:color w:val="000000" w:themeColor="text1"/>
          <w:sz w:val="28"/>
          <w:szCs w:val="28"/>
        </w:rPr>
        <w:t>1,45%) e (1,05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%) respectivamente, </w:t>
      </w:r>
      <w:r w:rsidR="00DC2CAB">
        <w:rPr>
          <w:rFonts w:ascii="Arial Narrow" w:hAnsi="Arial Narrow" w:cs="Arial"/>
          <w:color w:val="000000" w:themeColor="text1"/>
          <w:sz w:val="28"/>
          <w:szCs w:val="28"/>
        </w:rPr>
        <w:t xml:space="preserve">sendo que no mês a única região que registrou variação negativa foi o Nordeste </w:t>
      </w:r>
      <w:r>
        <w:rPr>
          <w:rFonts w:ascii="Arial Narrow" w:hAnsi="Arial Narrow" w:cs="Arial"/>
          <w:color w:val="000000" w:themeColor="text1"/>
          <w:sz w:val="28"/>
          <w:szCs w:val="28"/>
        </w:rPr>
        <w:t>(-0,</w:t>
      </w:r>
      <w:r w:rsidR="00DC2CAB">
        <w:rPr>
          <w:rFonts w:ascii="Arial Narrow" w:hAnsi="Arial Narrow" w:cs="Arial"/>
          <w:color w:val="000000" w:themeColor="text1"/>
          <w:sz w:val="28"/>
          <w:szCs w:val="28"/>
        </w:rPr>
        <w:t>48</w:t>
      </w:r>
      <w:r>
        <w:rPr>
          <w:rFonts w:ascii="Arial Narrow" w:hAnsi="Arial Narrow" w:cs="Arial"/>
          <w:color w:val="000000" w:themeColor="text1"/>
          <w:sz w:val="28"/>
          <w:szCs w:val="28"/>
        </w:rPr>
        <w:t>%).</w:t>
      </w:r>
    </w:p>
    <w:p w14:paraId="58E169C6" w14:textId="57E1F62F" w:rsidR="00EE191B" w:rsidRDefault="00EE191B" w:rsidP="00233EAA">
      <w:pPr>
        <w:spacing w:line="276" w:lineRule="auto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37E02C4F" w14:textId="50EA4633" w:rsidR="00AF3E26" w:rsidRPr="00AF3E26" w:rsidRDefault="00AF3E26" w:rsidP="00A06CCE">
      <w:pPr>
        <w:spacing w:line="276" w:lineRule="auto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AF3E26">
        <w:rPr>
          <w:rFonts w:ascii="Arial Narrow" w:hAnsi="Arial Narrow" w:cs="Arial"/>
          <w:color w:val="000000" w:themeColor="text1"/>
          <w:sz w:val="28"/>
          <w:szCs w:val="28"/>
        </w:rPr>
        <w:t xml:space="preserve">Entre as Unidades da Federação que possuem indicadores de Atividade Econômica, o desempenho catarinense no ano </w:t>
      </w:r>
      <w:r w:rsidR="00A06CCE">
        <w:rPr>
          <w:rFonts w:ascii="Arial Narrow" w:hAnsi="Arial Narrow" w:cs="Arial"/>
          <w:color w:val="000000" w:themeColor="text1"/>
          <w:sz w:val="28"/>
          <w:szCs w:val="28"/>
        </w:rPr>
        <w:t>detém a quarta posição</w:t>
      </w:r>
      <w:r w:rsidR="00A158FE">
        <w:rPr>
          <w:rFonts w:ascii="Arial Narrow" w:hAnsi="Arial Narrow" w:cs="Arial"/>
          <w:color w:val="000000" w:themeColor="text1"/>
          <w:sz w:val="28"/>
          <w:szCs w:val="28"/>
        </w:rPr>
        <w:t xml:space="preserve"> no ano</w:t>
      </w:r>
      <w:r w:rsidRPr="00AF3E26">
        <w:rPr>
          <w:rFonts w:ascii="Arial Narrow" w:hAnsi="Arial Narrow" w:cs="Arial"/>
          <w:color w:val="000000" w:themeColor="text1"/>
          <w:sz w:val="28"/>
          <w:szCs w:val="28"/>
        </w:rPr>
        <w:t xml:space="preserve">, atrás </w:t>
      </w:r>
      <w:r w:rsidR="00A06CCE">
        <w:rPr>
          <w:rFonts w:ascii="Arial Narrow" w:hAnsi="Arial Narrow" w:cs="Arial"/>
          <w:color w:val="000000" w:themeColor="text1"/>
          <w:sz w:val="28"/>
          <w:szCs w:val="28"/>
        </w:rPr>
        <w:t xml:space="preserve">do Rio Grande do Sul, São Paulo e </w:t>
      </w:r>
      <w:r w:rsidR="003B7432">
        <w:rPr>
          <w:rFonts w:ascii="Arial Narrow" w:hAnsi="Arial Narrow" w:cs="Arial"/>
          <w:color w:val="000000" w:themeColor="text1"/>
          <w:sz w:val="28"/>
          <w:szCs w:val="28"/>
        </w:rPr>
        <w:t>Ceará</w:t>
      </w:r>
      <w:r w:rsidR="00A06CCE">
        <w:rPr>
          <w:rFonts w:ascii="Arial Narrow" w:hAnsi="Arial Narrow" w:cs="Arial"/>
          <w:color w:val="000000" w:themeColor="text1"/>
          <w:sz w:val="28"/>
          <w:szCs w:val="28"/>
        </w:rPr>
        <w:t>.</w:t>
      </w:r>
      <w:r w:rsidRPr="00AF3E26">
        <w:rPr>
          <w:rFonts w:ascii="Arial Narrow" w:hAnsi="Arial Narrow" w:cs="Arial"/>
          <w:color w:val="000000" w:themeColor="text1"/>
          <w:sz w:val="28"/>
          <w:szCs w:val="28"/>
        </w:rPr>
        <w:t xml:space="preserve"> No mês, o desempenho nacional é puxado pela influência positiva d</w:t>
      </w:r>
      <w:r w:rsidR="003B7432">
        <w:rPr>
          <w:rFonts w:ascii="Arial Narrow" w:hAnsi="Arial Narrow" w:cs="Arial"/>
          <w:color w:val="000000" w:themeColor="text1"/>
          <w:sz w:val="28"/>
          <w:szCs w:val="28"/>
        </w:rPr>
        <w:t>a Bahia</w:t>
      </w:r>
      <w:r w:rsidR="0018784A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="00A06CCE">
        <w:rPr>
          <w:rFonts w:ascii="Arial Narrow" w:hAnsi="Arial Narrow" w:cs="Arial"/>
          <w:color w:val="000000" w:themeColor="text1"/>
          <w:sz w:val="28"/>
          <w:szCs w:val="28"/>
        </w:rPr>
        <w:t>– maior crescimento no mês entre as UFs (</w:t>
      </w:r>
      <w:r w:rsidR="003B7432">
        <w:rPr>
          <w:rFonts w:ascii="Arial Narrow" w:hAnsi="Arial Narrow" w:cs="Arial"/>
          <w:color w:val="000000" w:themeColor="text1"/>
          <w:sz w:val="28"/>
          <w:szCs w:val="28"/>
        </w:rPr>
        <w:t>2,81</w:t>
      </w:r>
      <w:r w:rsidR="00A06CCE">
        <w:rPr>
          <w:rFonts w:ascii="Arial Narrow" w:hAnsi="Arial Narrow" w:cs="Arial"/>
          <w:color w:val="000000" w:themeColor="text1"/>
          <w:sz w:val="28"/>
          <w:szCs w:val="28"/>
        </w:rPr>
        <w:t>%) –</w:t>
      </w:r>
      <w:r w:rsidRPr="00AF3E26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="003B7432">
        <w:rPr>
          <w:rFonts w:ascii="Arial Narrow" w:hAnsi="Arial Narrow" w:cs="Arial"/>
          <w:color w:val="000000" w:themeColor="text1"/>
          <w:sz w:val="28"/>
          <w:szCs w:val="28"/>
        </w:rPr>
        <w:t>Pernambuco, Paraná e São Paulo. Todos os demais estados apresentaram variação negativa no mês.</w:t>
      </w:r>
    </w:p>
    <w:p w14:paraId="2D1A0BD3" w14:textId="4092BF6A" w:rsidR="009C7028" w:rsidRDefault="009C7028" w:rsidP="00AF3E26">
      <w:pPr>
        <w:spacing w:line="276" w:lineRule="auto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4276F8F9" w14:textId="7F3D3601" w:rsidR="00A06CCE" w:rsidRDefault="00A06CCE" w:rsidP="00A06CCE">
      <w:pPr>
        <w:spacing w:line="276" w:lineRule="auto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>
        <w:rPr>
          <w:rFonts w:ascii="Arial Narrow" w:hAnsi="Arial Narrow" w:cs="Arial"/>
          <w:color w:val="000000" w:themeColor="text1"/>
          <w:sz w:val="28"/>
          <w:szCs w:val="28"/>
        </w:rPr>
        <w:t>A estimativa abrange a produção estimada para os três setores, acrescida dos impostos sobre produtos.</w:t>
      </w:r>
    </w:p>
    <w:p w14:paraId="58C61741" w14:textId="77777777" w:rsidR="00A06CCE" w:rsidRPr="00AF3E26" w:rsidRDefault="00A06CCE" w:rsidP="00AF3E26">
      <w:pPr>
        <w:spacing w:line="276" w:lineRule="auto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455DA876" w14:textId="35149055" w:rsidR="00C7722E" w:rsidRDefault="00C7722E" w:rsidP="00497312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088286AD" w14:textId="77777777" w:rsidR="00291F38" w:rsidRDefault="00291F38" w:rsidP="00291F38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14:paraId="1AE05978" w14:textId="77777777" w:rsidR="00B72E83" w:rsidRDefault="00B72E83">
      <w:r>
        <w:lastRenderedPageBreak/>
        <w:br w:type="page"/>
      </w:r>
      <w:bookmarkStart w:id="0" w:name="_GoBack"/>
      <w:bookmarkEnd w:id="0"/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840"/>
        <w:gridCol w:w="1840"/>
        <w:gridCol w:w="2780"/>
      </w:tblGrid>
      <w:tr w:rsidR="00291F38" w:rsidRPr="00291F38" w14:paraId="57F9145C" w14:textId="77777777" w:rsidTr="00EE191B">
        <w:trPr>
          <w:trHeight w:val="42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B2D9" w14:textId="109ABA0E" w:rsidR="00291F38" w:rsidRPr="00291F38" w:rsidRDefault="00291F38" w:rsidP="00291F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291F3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  <w:t>Índice de Atividade Econômica dos Estados Brasileiros</w:t>
            </w:r>
          </w:p>
        </w:tc>
      </w:tr>
      <w:tr w:rsidR="003C5211" w:rsidRPr="00291F38" w14:paraId="608011A4" w14:textId="77777777" w:rsidTr="00EB37E2">
        <w:trPr>
          <w:trHeight w:val="1140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59981"/>
            <w:vAlign w:val="center"/>
            <w:hideMark/>
          </w:tcPr>
          <w:p w14:paraId="098EEBFC" w14:textId="76A62165" w:rsidR="003C5211" w:rsidRPr="003C5211" w:rsidRDefault="003C5211" w:rsidP="003C5211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pt-BR"/>
              </w:rPr>
            </w:pPr>
            <w:r w:rsidRPr="003C5211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>UF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59981"/>
            <w:vAlign w:val="center"/>
            <w:hideMark/>
          </w:tcPr>
          <w:p w14:paraId="4AFFDEDD" w14:textId="0C8BA52F" w:rsidR="003C5211" w:rsidRPr="003C5211" w:rsidRDefault="003C5211" w:rsidP="003C5211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pt-BR"/>
              </w:rPr>
            </w:pPr>
            <w:r w:rsidRPr="003C5211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>Variação no Mês (%)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59981"/>
            <w:vAlign w:val="center"/>
            <w:hideMark/>
          </w:tcPr>
          <w:p w14:paraId="5515A697" w14:textId="31194344" w:rsidR="003C5211" w:rsidRPr="003C5211" w:rsidRDefault="003C5211" w:rsidP="003C5211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pt-BR"/>
              </w:rPr>
            </w:pPr>
            <w:r w:rsidRPr="003C5211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>Variação em 201</w:t>
            </w:r>
            <w:r w:rsidR="00EB37E2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>9</w:t>
            </w:r>
            <w:r w:rsidRPr="003C5211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 xml:space="preserve"> (%)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359981"/>
            <w:vAlign w:val="center"/>
            <w:hideMark/>
          </w:tcPr>
          <w:p w14:paraId="20988A53" w14:textId="16FF4F85" w:rsidR="0018784A" w:rsidRDefault="003C5211" w:rsidP="003C521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3C5211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>Ranking de Crescimento</w:t>
            </w:r>
          </w:p>
          <w:p w14:paraId="3AA4D4AF" w14:textId="7DA0E5B0" w:rsidR="003C5211" w:rsidRPr="003C5211" w:rsidRDefault="003C5211" w:rsidP="003C5211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eastAsia="pt-BR"/>
              </w:rPr>
            </w:pPr>
            <w:r w:rsidRPr="003C5211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>(Jan-</w:t>
            </w:r>
            <w:proofErr w:type="spellStart"/>
            <w:r w:rsidRPr="003C5211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>Abr</w:t>
            </w:r>
            <w:proofErr w:type="spellEnd"/>
            <w:r w:rsidRPr="003C5211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  <w:t xml:space="preserve"> 2019)</w:t>
            </w:r>
          </w:p>
        </w:tc>
      </w:tr>
      <w:tr w:rsidR="00EB37E2" w:rsidRPr="00291F38" w14:paraId="526D5A57" w14:textId="77777777" w:rsidTr="00477B6E">
        <w:trPr>
          <w:trHeight w:val="3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B924" w14:textId="4379E6E4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RS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5786" w14:textId="0AD1EABA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-0,83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6110" w14:textId="0C170BB5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3,59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4AD4" w14:textId="1B0CD0F7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1º</w:t>
            </w:r>
          </w:p>
        </w:tc>
      </w:tr>
      <w:tr w:rsidR="00EB37E2" w:rsidRPr="00291F38" w14:paraId="69E4BDD7" w14:textId="77777777" w:rsidTr="00477B6E">
        <w:trPr>
          <w:trHeight w:val="3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A5B4" w14:textId="4390E406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SP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CC05" w14:textId="1BB18956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0,03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CFA8" w14:textId="46A07AC2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2,28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32D4" w14:textId="26733AD7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2º</w:t>
            </w:r>
          </w:p>
        </w:tc>
      </w:tr>
      <w:tr w:rsidR="00EB37E2" w:rsidRPr="00291F38" w14:paraId="76CC5080" w14:textId="77777777" w:rsidTr="00477B6E">
        <w:trPr>
          <w:trHeight w:val="3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BE3F" w14:textId="32135B97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CE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21E6" w14:textId="385DA7CE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-0,01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3213" w14:textId="77C9A2E5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2,10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BB3F" w14:textId="467F32FE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3º</w:t>
            </w:r>
          </w:p>
        </w:tc>
      </w:tr>
      <w:tr w:rsidR="00EB37E2" w:rsidRPr="00291F38" w14:paraId="4946123D" w14:textId="77777777" w:rsidTr="00EB37E2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bottom"/>
            <w:hideMark/>
          </w:tcPr>
          <w:p w14:paraId="17393EEE" w14:textId="1D44F4FE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SC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bottom"/>
            <w:hideMark/>
          </w:tcPr>
          <w:p w14:paraId="0A2FF0D4" w14:textId="75105FB4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-1,00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bottom"/>
            <w:hideMark/>
          </w:tcPr>
          <w:p w14:paraId="6C36A99D" w14:textId="4715B68E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2,02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bottom"/>
            <w:hideMark/>
          </w:tcPr>
          <w:p w14:paraId="0815D982" w14:textId="278E38E3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4º</w:t>
            </w:r>
          </w:p>
        </w:tc>
      </w:tr>
      <w:tr w:rsidR="00EB37E2" w:rsidRPr="00291F38" w14:paraId="33BC4692" w14:textId="77777777" w:rsidTr="00477B6E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88FA" w14:textId="411039D1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PR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97FD" w14:textId="1F72307D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0,30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B573" w14:textId="71D9B009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1,74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F63C" w14:textId="77B7A31F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5º</w:t>
            </w:r>
          </w:p>
        </w:tc>
      </w:tr>
      <w:tr w:rsidR="00EB37E2" w:rsidRPr="00291F38" w14:paraId="3C142181" w14:textId="77777777" w:rsidTr="00477B6E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22A8" w14:textId="3B1EDA7F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7C24" w14:textId="0A01C7DE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-1,21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6D9C" w14:textId="6FE26B72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1,62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CF51" w14:textId="3E748278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6º</w:t>
            </w:r>
          </w:p>
        </w:tc>
      </w:tr>
      <w:tr w:rsidR="00EB37E2" w:rsidRPr="00291F38" w14:paraId="2B051764" w14:textId="77777777" w:rsidTr="00477B6E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2BDA" w14:textId="1499848B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MG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29CD" w14:textId="6F19349E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-0,30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94FC" w14:textId="0AAEBA24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1,39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5686" w14:textId="4B815BD5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7º</w:t>
            </w:r>
          </w:p>
        </w:tc>
      </w:tr>
      <w:tr w:rsidR="00EB37E2" w:rsidRPr="00291F38" w14:paraId="32DE8E69" w14:textId="77777777" w:rsidTr="00477B6E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2074" w14:textId="4CAF8184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GO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0D22" w14:textId="5636F4EF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-1,17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A919" w14:textId="041A6447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1,15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CC18" w14:textId="3C0DB076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8º</w:t>
            </w:r>
          </w:p>
        </w:tc>
      </w:tr>
      <w:tr w:rsidR="00EB37E2" w:rsidRPr="00291F38" w14:paraId="097C6D95" w14:textId="77777777" w:rsidTr="00477B6E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15E2" w14:textId="0D1EE073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AM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3A5E" w14:textId="1FAF3B0C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-0,73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1BFC" w14:textId="5A4CDAF7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1,01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8BB5" w14:textId="2DEF5359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9º</w:t>
            </w:r>
          </w:p>
        </w:tc>
      </w:tr>
      <w:tr w:rsidR="00EB37E2" w:rsidRPr="00291F38" w14:paraId="0ABECE7B" w14:textId="77777777" w:rsidTr="00477B6E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A3E8" w14:textId="035F1640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PE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A64A" w14:textId="01D3B3E3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0,69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48C3" w14:textId="325E6D77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0,50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3F8D" w14:textId="199D82C6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10º</w:t>
            </w:r>
          </w:p>
        </w:tc>
      </w:tr>
      <w:tr w:rsidR="00EB37E2" w:rsidRPr="00291F38" w14:paraId="26ECED48" w14:textId="77777777" w:rsidTr="00477B6E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F862" w14:textId="281A72A0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RJ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AE2E" w14:textId="7ECF4A0A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-0,34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E7BD" w14:textId="64B43740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-0,03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0D03" w14:textId="6E8A7ADA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11º</w:t>
            </w:r>
          </w:p>
        </w:tc>
      </w:tr>
      <w:tr w:rsidR="00EB37E2" w:rsidRPr="00291F38" w14:paraId="617D3E1F" w14:textId="77777777" w:rsidTr="00477B6E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97AE" w14:textId="4D2097FA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BA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D4B7" w14:textId="3AF468DA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2,81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368B" w14:textId="0ECF6646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-0,64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1F9A" w14:textId="3C6E2120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12º</w:t>
            </w:r>
          </w:p>
        </w:tc>
      </w:tr>
      <w:tr w:rsidR="00EB37E2" w:rsidRPr="00291F38" w14:paraId="16CE4083" w14:textId="77777777" w:rsidTr="00477B6E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C509AD" w14:textId="707E2E05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PA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10E03A" w14:textId="42951D9A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-3,14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76FB9D" w14:textId="4F415367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-0,86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9FC17B" w14:textId="0AA1902F" w:rsidR="00EB37E2" w:rsidRPr="00EB37E2" w:rsidRDefault="00EB37E2" w:rsidP="00EB37E2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EB37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13º</w:t>
            </w:r>
          </w:p>
        </w:tc>
      </w:tr>
      <w:tr w:rsidR="00925D0D" w:rsidRPr="00291F38" w14:paraId="60767A6D" w14:textId="77777777" w:rsidTr="00291F38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973E" w14:textId="36F9BD59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Região Norte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DB19" w14:textId="60336E3F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0,58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230E" w14:textId="56D18ED7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1,43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8E51" w14:textId="77777777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</w:p>
        </w:tc>
      </w:tr>
      <w:tr w:rsidR="00925D0D" w:rsidRPr="00291F38" w14:paraId="0DF29DA0" w14:textId="77777777" w:rsidTr="00291F38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8440" w14:textId="7FD6252A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Região Nordeste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597B" w14:textId="62F2FE63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-0,48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6912" w14:textId="2A8BFA1A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1,05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C9E0" w14:textId="77777777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</w:p>
        </w:tc>
      </w:tr>
      <w:tr w:rsidR="00925D0D" w:rsidRPr="00291F38" w14:paraId="764B7497" w14:textId="77777777" w:rsidTr="00291F38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B15B" w14:textId="2F62AD53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Região Centro-Oeste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CCAC" w14:textId="55851AC8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0,92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A971" w14:textId="24B00C42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1,54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2E6B" w14:textId="77777777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</w:p>
        </w:tc>
      </w:tr>
      <w:tr w:rsidR="00925D0D" w:rsidRPr="00291F38" w14:paraId="16A80498" w14:textId="77777777" w:rsidTr="00291F38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CE20" w14:textId="0BDD4C42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Região Sudeste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7279" w14:textId="346B65DD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656B" w14:textId="18169DB7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2,29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B56E" w14:textId="77777777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</w:p>
        </w:tc>
      </w:tr>
      <w:tr w:rsidR="00925D0D" w:rsidRPr="00291F38" w14:paraId="1AFC1A87" w14:textId="77777777" w:rsidTr="00291F38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0792" w14:textId="306A1E3D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Região Sul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4967" w14:textId="73BF9F76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B455" w14:textId="7D147925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3,44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F865" w14:textId="77777777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</w:p>
        </w:tc>
      </w:tr>
      <w:tr w:rsidR="00925D0D" w:rsidRPr="00291F38" w14:paraId="1AD496CC" w14:textId="77777777" w:rsidTr="00EB37E2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14:paraId="54926CCE" w14:textId="4C089EF6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Brasil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14:paraId="10650AC8" w14:textId="4D177EAD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0,54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14:paraId="0F5B5C5F" w14:textId="1E57DF3D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0,94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14:paraId="3EF36774" w14:textId="6FDF3CC7" w:rsidR="00925D0D" w:rsidRPr="00291F38" w:rsidRDefault="00925D0D" w:rsidP="00925D0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63FA2D81" w14:textId="0F2EF6E4" w:rsidR="00C7722E" w:rsidRDefault="00C7722E" w:rsidP="00C7722E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1A2545">
        <w:rPr>
          <w:rFonts w:ascii="Arial Narrow" w:hAnsi="Arial Narrow" w:cs="Arial"/>
          <w:sz w:val="20"/>
          <w:szCs w:val="20"/>
        </w:rPr>
        <w:t>Fonte: BACEN/Observatório FIESC.</w:t>
      </w:r>
    </w:p>
    <w:sectPr w:rsidR="00C7722E" w:rsidSect="00350C7D">
      <w:headerReference w:type="default" r:id="rId10"/>
      <w:footerReference w:type="default" r:id="rId11"/>
      <w:pgSz w:w="11900" w:h="16840"/>
      <w:pgMar w:top="1560" w:right="1552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DD753" w14:textId="77777777" w:rsidR="008127FC" w:rsidRDefault="008127FC" w:rsidP="008127FC">
      <w:r>
        <w:separator/>
      </w:r>
    </w:p>
  </w:endnote>
  <w:endnote w:type="continuationSeparator" w:id="0">
    <w:p w14:paraId="762F12C4" w14:textId="77777777" w:rsidR="008127FC" w:rsidRDefault="008127FC" w:rsidP="0081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34893" w14:textId="1033F3A6" w:rsidR="00AE3195" w:rsidRDefault="00AE3195" w:rsidP="001A194F">
    <w:pPr>
      <w:pStyle w:val="Rodap"/>
      <w:tabs>
        <w:tab w:val="clear" w:pos="4320"/>
        <w:tab w:val="clear" w:pos="8640"/>
        <w:tab w:val="left" w:pos="580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9D72BAD" wp14:editId="1DCE7D52">
              <wp:simplePos x="0" y="0"/>
              <wp:positionH relativeFrom="column">
                <wp:posOffset>209550</wp:posOffset>
              </wp:positionH>
              <wp:positionV relativeFrom="paragraph">
                <wp:posOffset>-400685</wp:posOffset>
              </wp:positionV>
              <wp:extent cx="3429000" cy="457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F96A4" w14:textId="719E0B84" w:rsidR="00AE3195" w:rsidRPr="00FE55A7" w:rsidRDefault="006C3B01" w:rsidP="00AE3195">
                          <w:pP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>Atividade Econômica</w:t>
                          </w:r>
                          <w:r w:rsidR="009311E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 xml:space="preserve"> </w:t>
                          </w:r>
                          <w:r w:rsidR="0063253E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>–</w:t>
                          </w:r>
                          <w:r w:rsidR="00D0519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 xml:space="preserve"> </w:t>
                          </w:r>
                          <w:proofErr w:type="gramStart"/>
                          <w:r w:rsidR="00D0519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>Maio</w:t>
                          </w:r>
                          <w:proofErr w:type="gramEnd"/>
                          <w:r w:rsidR="00BA2EFE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 xml:space="preserve"> </w:t>
                          </w:r>
                          <w:r w:rsidR="00F374B8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>de 2019</w:t>
                          </w:r>
                          <w:r w:rsidR="00AE3195" w:rsidRPr="002851D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4772D9A9" w14:textId="17B03BD4" w:rsidR="00AE3195" w:rsidRPr="002851DA" w:rsidRDefault="00856BE8" w:rsidP="00AE3195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  <w:t>Observatório FIESC</w:t>
                          </w:r>
                        </w:p>
                        <w:p w14:paraId="1C14F832" w14:textId="77777777" w:rsidR="00AE3195" w:rsidRPr="002851DA" w:rsidRDefault="00AE3195" w:rsidP="00AE3195">
                          <w:pP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72B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6.5pt;margin-top:-31.55pt;width:270pt;height:3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" filled="f" stroked="f">
              <v:textbox>
                <w:txbxContent>
                  <w:p w14:paraId="09EF96A4" w14:textId="719E0B84" w:rsidR="00AE3195" w:rsidRPr="00FE55A7" w:rsidRDefault="006C3B01" w:rsidP="00AE3195">
                    <w:pPr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>Atividade Econômica</w:t>
                    </w:r>
                    <w:r w:rsidR="009311ED"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 xml:space="preserve"> </w:t>
                    </w:r>
                    <w:r w:rsidR="0063253E"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>–</w:t>
                    </w:r>
                    <w:r w:rsidR="00D0519D"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 xml:space="preserve"> </w:t>
                    </w:r>
                    <w:proofErr w:type="gramStart"/>
                    <w:r w:rsidR="00D0519D"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>Maio</w:t>
                    </w:r>
                    <w:proofErr w:type="gramEnd"/>
                    <w:r w:rsidR="00BA2EFE"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 xml:space="preserve"> </w:t>
                    </w:r>
                    <w:r w:rsidR="00F374B8"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>de 2019</w:t>
                    </w:r>
                    <w:r w:rsidR="00AE3195" w:rsidRPr="002851DA">
                      <w:rPr>
                        <w:rFonts w:ascii="Arial" w:hAnsi="Arial" w:cs="Arial"/>
                        <w:b/>
                        <w:color w:val="404040" w:themeColor="text1" w:themeTint="BF"/>
                        <w:sz w:val="28"/>
                        <w:szCs w:val="28"/>
                      </w:rPr>
                      <w:t xml:space="preserve"> </w:t>
                    </w:r>
                  </w:p>
                  <w:p w14:paraId="4772D9A9" w14:textId="17B03BD4" w:rsidR="00AE3195" w:rsidRPr="002851DA" w:rsidRDefault="00856BE8" w:rsidP="00AE3195">
                    <w:pPr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  <w:t>Observatório FIESC</w:t>
                    </w:r>
                  </w:p>
                  <w:p w14:paraId="1C14F832" w14:textId="77777777" w:rsidR="00AE3195" w:rsidRPr="002851DA" w:rsidRDefault="00AE3195" w:rsidP="00AE3195">
                    <w:pPr>
                      <w:rPr>
                        <w:color w:val="262626" w:themeColor="text1" w:themeTint="D9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A194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1AF22" w14:textId="77777777" w:rsidR="008127FC" w:rsidRDefault="008127FC" w:rsidP="008127FC">
      <w:r>
        <w:separator/>
      </w:r>
    </w:p>
  </w:footnote>
  <w:footnote w:type="continuationSeparator" w:id="0">
    <w:p w14:paraId="6AC12891" w14:textId="77777777" w:rsidR="008127FC" w:rsidRDefault="008127FC" w:rsidP="0081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6DBCA" w14:textId="77777777" w:rsidR="008127FC" w:rsidRPr="008127FC" w:rsidRDefault="008127FC" w:rsidP="008127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743BF43" wp14:editId="4062CA35">
          <wp:simplePos x="0" y="0"/>
          <wp:positionH relativeFrom="column">
            <wp:posOffset>-1143000</wp:posOffset>
          </wp:positionH>
          <wp:positionV relativeFrom="paragraph">
            <wp:posOffset>-448310</wp:posOffset>
          </wp:positionV>
          <wp:extent cx="7543800" cy="10674477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erv_TIMB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4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1FE5"/>
    <w:multiLevelType w:val="hybridMultilevel"/>
    <w:tmpl w:val="B73AE20E"/>
    <w:lvl w:ilvl="0" w:tplc="D0B669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FFFFFF"/>
        <w:sz w:val="7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2187C"/>
    <w:multiLevelType w:val="hybridMultilevel"/>
    <w:tmpl w:val="673A7E36"/>
    <w:lvl w:ilvl="0" w:tplc="F6D2A1B0">
      <w:numFmt w:val="bullet"/>
      <w:lvlText w:val="-"/>
      <w:lvlJc w:val="left"/>
      <w:pPr>
        <w:ind w:left="525" w:hanging="360"/>
      </w:pPr>
      <w:rPr>
        <w:rFonts w:ascii="Calibri" w:eastAsia="Calibri" w:hAnsi="Calibri" w:cs="Calibri" w:hint="default"/>
        <w:b/>
        <w:color w:val="FFFFFF"/>
        <w:sz w:val="72"/>
      </w:rPr>
    </w:lvl>
    <w:lvl w:ilvl="1" w:tplc="0416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FC"/>
    <w:rsid w:val="00002917"/>
    <w:rsid w:val="00002E61"/>
    <w:rsid w:val="00014219"/>
    <w:rsid w:val="000203CB"/>
    <w:rsid w:val="00023554"/>
    <w:rsid w:val="00026360"/>
    <w:rsid w:val="00042427"/>
    <w:rsid w:val="00062A56"/>
    <w:rsid w:val="00076F55"/>
    <w:rsid w:val="0008168A"/>
    <w:rsid w:val="0008329F"/>
    <w:rsid w:val="000832A3"/>
    <w:rsid w:val="00095778"/>
    <w:rsid w:val="000A18E5"/>
    <w:rsid w:val="000B1614"/>
    <w:rsid w:val="000D72F1"/>
    <w:rsid w:val="000D7ABC"/>
    <w:rsid w:val="000E0BF8"/>
    <w:rsid w:val="00110396"/>
    <w:rsid w:val="00111F68"/>
    <w:rsid w:val="00137838"/>
    <w:rsid w:val="001421CD"/>
    <w:rsid w:val="00186918"/>
    <w:rsid w:val="0018784A"/>
    <w:rsid w:val="00195E44"/>
    <w:rsid w:val="001A194F"/>
    <w:rsid w:val="001A2545"/>
    <w:rsid w:val="001D2CA7"/>
    <w:rsid w:val="001F0301"/>
    <w:rsid w:val="00204F8B"/>
    <w:rsid w:val="00233EAA"/>
    <w:rsid w:val="0024317D"/>
    <w:rsid w:val="00252C2C"/>
    <w:rsid w:val="00257C2F"/>
    <w:rsid w:val="0027075E"/>
    <w:rsid w:val="002714FD"/>
    <w:rsid w:val="0028244B"/>
    <w:rsid w:val="00286DE5"/>
    <w:rsid w:val="00291F38"/>
    <w:rsid w:val="00296FAF"/>
    <w:rsid w:val="002B28B6"/>
    <w:rsid w:val="002B3996"/>
    <w:rsid w:val="002D40B3"/>
    <w:rsid w:val="002E4412"/>
    <w:rsid w:val="003209CA"/>
    <w:rsid w:val="00350C7D"/>
    <w:rsid w:val="00360705"/>
    <w:rsid w:val="003832BE"/>
    <w:rsid w:val="00384086"/>
    <w:rsid w:val="003B2E0B"/>
    <w:rsid w:val="003B7432"/>
    <w:rsid w:val="003C000D"/>
    <w:rsid w:val="003C5211"/>
    <w:rsid w:val="003F6052"/>
    <w:rsid w:val="00406883"/>
    <w:rsid w:val="0043241E"/>
    <w:rsid w:val="00457737"/>
    <w:rsid w:val="00497312"/>
    <w:rsid w:val="004A61E2"/>
    <w:rsid w:val="004B283C"/>
    <w:rsid w:val="004C1DE2"/>
    <w:rsid w:val="004E14D4"/>
    <w:rsid w:val="00501509"/>
    <w:rsid w:val="0051249D"/>
    <w:rsid w:val="0058756C"/>
    <w:rsid w:val="00590CC9"/>
    <w:rsid w:val="0059715A"/>
    <w:rsid w:val="005A00F6"/>
    <w:rsid w:val="005A17F8"/>
    <w:rsid w:val="005B4024"/>
    <w:rsid w:val="005E0992"/>
    <w:rsid w:val="005E3C48"/>
    <w:rsid w:val="00607B79"/>
    <w:rsid w:val="00607CE3"/>
    <w:rsid w:val="00621A5E"/>
    <w:rsid w:val="0063253E"/>
    <w:rsid w:val="00647BE4"/>
    <w:rsid w:val="00676BAB"/>
    <w:rsid w:val="00682384"/>
    <w:rsid w:val="006876CE"/>
    <w:rsid w:val="0069332F"/>
    <w:rsid w:val="006B01E2"/>
    <w:rsid w:val="006C3B01"/>
    <w:rsid w:val="006D2E0C"/>
    <w:rsid w:val="006D462F"/>
    <w:rsid w:val="006E6721"/>
    <w:rsid w:val="006F5A1E"/>
    <w:rsid w:val="00715611"/>
    <w:rsid w:val="00737D25"/>
    <w:rsid w:val="00753B2D"/>
    <w:rsid w:val="007706C6"/>
    <w:rsid w:val="00793643"/>
    <w:rsid w:val="007A3AE0"/>
    <w:rsid w:val="007A630A"/>
    <w:rsid w:val="007C1D55"/>
    <w:rsid w:val="007F66E5"/>
    <w:rsid w:val="00806C4F"/>
    <w:rsid w:val="008127FC"/>
    <w:rsid w:val="00815698"/>
    <w:rsid w:val="008301A1"/>
    <w:rsid w:val="008410A3"/>
    <w:rsid w:val="00850749"/>
    <w:rsid w:val="00856BE8"/>
    <w:rsid w:val="00882244"/>
    <w:rsid w:val="00885948"/>
    <w:rsid w:val="008877C5"/>
    <w:rsid w:val="008A03AC"/>
    <w:rsid w:val="008B331E"/>
    <w:rsid w:val="008E46BF"/>
    <w:rsid w:val="00905FD7"/>
    <w:rsid w:val="00925D0D"/>
    <w:rsid w:val="009311ED"/>
    <w:rsid w:val="00947AED"/>
    <w:rsid w:val="00961D28"/>
    <w:rsid w:val="009679F6"/>
    <w:rsid w:val="009862B4"/>
    <w:rsid w:val="009A58F3"/>
    <w:rsid w:val="009C7028"/>
    <w:rsid w:val="009E304E"/>
    <w:rsid w:val="009E7B0E"/>
    <w:rsid w:val="00A03696"/>
    <w:rsid w:val="00A06CCE"/>
    <w:rsid w:val="00A1531E"/>
    <w:rsid w:val="00A158FE"/>
    <w:rsid w:val="00A31F84"/>
    <w:rsid w:val="00A71542"/>
    <w:rsid w:val="00A77ACD"/>
    <w:rsid w:val="00AB3F15"/>
    <w:rsid w:val="00AB71B9"/>
    <w:rsid w:val="00AC5B4C"/>
    <w:rsid w:val="00AC76AC"/>
    <w:rsid w:val="00AC7AAE"/>
    <w:rsid w:val="00AE3195"/>
    <w:rsid w:val="00AF04B2"/>
    <w:rsid w:val="00AF3E26"/>
    <w:rsid w:val="00B34426"/>
    <w:rsid w:val="00B50164"/>
    <w:rsid w:val="00B512A0"/>
    <w:rsid w:val="00B70D32"/>
    <w:rsid w:val="00B72E83"/>
    <w:rsid w:val="00BA2EFE"/>
    <w:rsid w:val="00BB0EC3"/>
    <w:rsid w:val="00BD485A"/>
    <w:rsid w:val="00BE2B80"/>
    <w:rsid w:val="00BE4C72"/>
    <w:rsid w:val="00C15C2E"/>
    <w:rsid w:val="00C31831"/>
    <w:rsid w:val="00C36B3C"/>
    <w:rsid w:val="00C6711B"/>
    <w:rsid w:val="00C67FD9"/>
    <w:rsid w:val="00C70215"/>
    <w:rsid w:val="00C7722E"/>
    <w:rsid w:val="00CC539E"/>
    <w:rsid w:val="00CD2AA4"/>
    <w:rsid w:val="00CD78F2"/>
    <w:rsid w:val="00CE2703"/>
    <w:rsid w:val="00CE462A"/>
    <w:rsid w:val="00CF6537"/>
    <w:rsid w:val="00D0519D"/>
    <w:rsid w:val="00D06AFF"/>
    <w:rsid w:val="00D46C3A"/>
    <w:rsid w:val="00D5465B"/>
    <w:rsid w:val="00D80268"/>
    <w:rsid w:val="00DA578A"/>
    <w:rsid w:val="00DC2CAB"/>
    <w:rsid w:val="00DD3791"/>
    <w:rsid w:val="00E07C9D"/>
    <w:rsid w:val="00E36944"/>
    <w:rsid w:val="00E57E46"/>
    <w:rsid w:val="00E613CB"/>
    <w:rsid w:val="00E620E4"/>
    <w:rsid w:val="00E624D5"/>
    <w:rsid w:val="00E67D78"/>
    <w:rsid w:val="00E71252"/>
    <w:rsid w:val="00EB37E2"/>
    <w:rsid w:val="00ED45D2"/>
    <w:rsid w:val="00EE191B"/>
    <w:rsid w:val="00EE62A0"/>
    <w:rsid w:val="00F15D09"/>
    <w:rsid w:val="00F17F14"/>
    <w:rsid w:val="00F20DB2"/>
    <w:rsid w:val="00F252FF"/>
    <w:rsid w:val="00F374B8"/>
    <w:rsid w:val="00F530BC"/>
    <w:rsid w:val="00F67694"/>
    <w:rsid w:val="00F72B83"/>
    <w:rsid w:val="00F81EBE"/>
    <w:rsid w:val="00FB20C4"/>
    <w:rsid w:val="00FB265C"/>
    <w:rsid w:val="00FD0B8B"/>
    <w:rsid w:val="00FE3EA7"/>
    <w:rsid w:val="00FE55A7"/>
    <w:rsid w:val="00F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53D9C2"/>
  <w14:defaultImageDpi w14:val="300"/>
  <w15:docId w15:val="{40D68BAB-8CEC-4E5C-8551-A80D8D7A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2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27FC"/>
  </w:style>
  <w:style w:type="paragraph" w:styleId="Rodap">
    <w:name w:val="footer"/>
    <w:basedOn w:val="Normal"/>
    <w:link w:val="RodapChar"/>
    <w:uiPriority w:val="99"/>
    <w:unhideWhenUsed/>
    <w:rsid w:val="008127F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127FC"/>
  </w:style>
  <w:style w:type="paragraph" w:styleId="Textodebalo">
    <w:name w:val="Balloon Text"/>
    <w:basedOn w:val="Normal"/>
    <w:link w:val="TextodebaloChar"/>
    <w:uiPriority w:val="99"/>
    <w:semiHidden/>
    <w:unhideWhenUsed/>
    <w:rsid w:val="008127FC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7FC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56B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/>
    </w:rPr>
  </w:style>
  <w:style w:type="character" w:styleId="nfase">
    <w:name w:val="Emphasis"/>
    <w:qFormat/>
    <w:rsid w:val="00856BE8"/>
    <w:rPr>
      <w:i/>
      <w:iCs/>
    </w:rPr>
  </w:style>
  <w:style w:type="paragraph" w:styleId="NormalWeb">
    <w:name w:val="Normal (Web)"/>
    <w:basedOn w:val="Normal"/>
    <w:uiPriority w:val="99"/>
    <w:unhideWhenUsed/>
    <w:rsid w:val="00856B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deGrade4-nfase3">
    <w:name w:val="Grid Table 4 Accent 3"/>
    <w:basedOn w:val="Tabelanormal"/>
    <w:uiPriority w:val="49"/>
    <w:rsid w:val="00856BE8"/>
    <w:rPr>
      <w:rFonts w:ascii="Cambria" w:eastAsia="MS Mincho" w:hAnsi="Cambria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yperlink">
    <w:name w:val="Hyperlink"/>
    <w:basedOn w:val="Fontepargpadro"/>
    <w:uiPriority w:val="99"/>
    <w:unhideWhenUsed/>
    <w:rsid w:val="00076F5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0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3">
    <w:name w:val="Grid Table 5 Dark Accent 3"/>
    <w:basedOn w:val="Tabelanormal"/>
    <w:uiPriority w:val="50"/>
    <w:rsid w:val="009311ED"/>
    <w:rPr>
      <w:lang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7C9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7C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07C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istemafiesc.org\arquivos\sede\OBSERVAT&#211;RIO\3.%20ECONOMIA\2.%20BOLETINS%20ECON&#212;MICOS\8.%20&#205;ndice%20de%20Atividade%20Econ&#244;mica\2019\4.%20Abril\s&#233;ri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Santa Catarina</c:v>
                </c:pt>
              </c:strCache>
            </c:strRef>
          </c:tx>
          <c:spPr>
            <a:ln w="38100" cap="rnd">
              <a:solidFill>
                <a:srgbClr val="359981"/>
              </a:solidFill>
              <a:round/>
            </a:ln>
            <a:effectLst/>
          </c:spPr>
          <c:marker>
            <c:symbol val="none"/>
          </c:marker>
          <c:dLbls>
            <c:dLbl>
              <c:idx val="27"/>
              <c:delete val="1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2E7-439F-A464-6520C80710F2}"/>
                </c:ext>
              </c:extLst>
            </c:dLbl>
            <c:dLbl>
              <c:idx val="28"/>
              <c:layout>
                <c:manualLayout>
                  <c:x val="0"/>
                  <c:y val="-6.0185185185185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Century Gothic" panose="020B0502020202020204" pitchFamily="34" charset="0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C4C-475F-B758-0BE02E72A2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Planilha1!$A$2:$A$30</c:f>
              <c:numCache>
                <c:formatCode>[$-416]mmm\-yy;@</c:formatCode>
                <c:ptCount val="29"/>
                <c:pt idx="0">
                  <c:v>42736</c:v>
                </c:pt>
                <c:pt idx="1">
                  <c:v>42767</c:v>
                </c:pt>
                <c:pt idx="2">
                  <c:v>42795</c:v>
                </c:pt>
                <c:pt idx="3">
                  <c:v>42826</c:v>
                </c:pt>
                <c:pt idx="4">
                  <c:v>42856</c:v>
                </c:pt>
                <c:pt idx="5">
                  <c:v>42887</c:v>
                </c:pt>
                <c:pt idx="6">
                  <c:v>42917</c:v>
                </c:pt>
                <c:pt idx="7">
                  <c:v>42948</c:v>
                </c:pt>
                <c:pt idx="8">
                  <c:v>42979</c:v>
                </c:pt>
                <c:pt idx="9">
                  <c:v>43009</c:v>
                </c:pt>
                <c:pt idx="10">
                  <c:v>43040</c:v>
                </c:pt>
                <c:pt idx="11">
                  <c:v>43070</c:v>
                </c:pt>
                <c:pt idx="12">
                  <c:v>43101</c:v>
                </c:pt>
                <c:pt idx="13">
                  <c:v>43132</c:v>
                </c:pt>
                <c:pt idx="14">
                  <c:v>43160</c:v>
                </c:pt>
                <c:pt idx="15">
                  <c:v>43191</c:v>
                </c:pt>
                <c:pt idx="16">
                  <c:v>43221</c:v>
                </c:pt>
                <c:pt idx="17">
                  <c:v>43252</c:v>
                </c:pt>
                <c:pt idx="18">
                  <c:v>43282</c:v>
                </c:pt>
                <c:pt idx="19">
                  <c:v>43313</c:v>
                </c:pt>
                <c:pt idx="20">
                  <c:v>43344</c:v>
                </c:pt>
                <c:pt idx="21">
                  <c:v>43374</c:v>
                </c:pt>
                <c:pt idx="22">
                  <c:v>43405</c:v>
                </c:pt>
                <c:pt idx="23">
                  <c:v>43435</c:v>
                </c:pt>
                <c:pt idx="24">
                  <c:v>43466</c:v>
                </c:pt>
                <c:pt idx="25">
                  <c:v>43497</c:v>
                </c:pt>
                <c:pt idx="26">
                  <c:v>43525</c:v>
                </c:pt>
                <c:pt idx="27">
                  <c:v>43556</c:v>
                </c:pt>
                <c:pt idx="28">
                  <c:v>43586</c:v>
                </c:pt>
              </c:numCache>
            </c:numRef>
          </c:cat>
          <c:val>
            <c:numRef>
              <c:f>Planilha1!$B$2:$B$30</c:f>
              <c:numCache>
                <c:formatCode>General</c:formatCode>
                <c:ptCount val="29"/>
                <c:pt idx="0">
                  <c:v>136.28</c:v>
                </c:pt>
                <c:pt idx="1">
                  <c:v>140.81</c:v>
                </c:pt>
                <c:pt idx="2">
                  <c:v>138.66</c:v>
                </c:pt>
                <c:pt idx="3">
                  <c:v>140.06</c:v>
                </c:pt>
                <c:pt idx="4">
                  <c:v>137.07</c:v>
                </c:pt>
                <c:pt idx="5">
                  <c:v>137.62</c:v>
                </c:pt>
                <c:pt idx="6">
                  <c:v>138.41</c:v>
                </c:pt>
                <c:pt idx="7">
                  <c:v>137.97</c:v>
                </c:pt>
                <c:pt idx="8">
                  <c:v>138.94999999999999</c:v>
                </c:pt>
                <c:pt idx="9">
                  <c:v>138.94</c:v>
                </c:pt>
                <c:pt idx="10">
                  <c:v>140.69</c:v>
                </c:pt>
                <c:pt idx="11">
                  <c:v>143.96</c:v>
                </c:pt>
                <c:pt idx="12">
                  <c:v>142.09</c:v>
                </c:pt>
                <c:pt idx="13">
                  <c:v>141.74</c:v>
                </c:pt>
                <c:pt idx="14">
                  <c:v>141.47</c:v>
                </c:pt>
                <c:pt idx="15">
                  <c:v>142.81</c:v>
                </c:pt>
                <c:pt idx="16">
                  <c:v>136.06</c:v>
                </c:pt>
                <c:pt idx="17">
                  <c:v>142.27000000000001</c:v>
                </c:pt>
                <c:pt idx="18">
                  <c:v>143.84</c:v>
                </c:pt>
                <c:pt idx="19">
                  <c:v>143.91</c:v>
                </c:pt>
                <c:pt idx="20">
                  <c:v>143.88</c:v>
                </c:pt>
                <c:pt idx="21">
                  <c:v>144.84</c:v>
                </c:pt>
                <c:pt idx="22">
                  <c:v>144.72</c:v>
                </c:pt>
                <c:pt idx="23">
                  <c:v>143.63999999999999</c:v>
                </c:pt>
                <c:pt idx="24">
                  <c:v>144.13999999999999</c:v>
                </c:pt>
                <c:pt idx="25">
                  <c:v>142.77000000000001</c:v>
                </c:pt>
                <c:pt idx="26">
                  <c:v>146.66</c:v>
                </c:pt>
                <c:pt idx="27">
                  <c:v>145.16</c:v>
                </c:pt>
                <c:pt idx="28">
                  <c:v>145.01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2E7-439F-A464-6520C80710F2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Brasil</c:v>
                </c:pt>
              </c:strCache>
            </c:strRef>
          </c:tx>
          <c:spPr>
            <a:ln w="38100" cap="rnd">
              <a:solidFill>
                <a:srgbClr val="F2A10E"/>
              </a:solidFill>
              <a:round/>
            </a:ln>
            <a:effectLst/>
          </c:spPr>
          <c:marker>
            <c:symbol val="none"/>
          </c:marker>
          <c:dLbls>
            <c:dLbl>
              <c:idx val="28"/>
              <c:layout>
                <c:manualLayout>
                  <c:x val="-2.3028209556706966E-2"/>
                  <c:y val="-5.09259259259260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C4C-475F-B758-0BE02E72A2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Planilha1!$A$2:$A$30</c:f>
              <c:numCache>
                <c:formatCode>[$-416]mmm\-yy;@</c:formatCode>
                <c:ptCount val="29"/>
                <c:pt idx="0">
                  <c:v>42736</c:v>
                </c:pt>
                <c:pt idx="1">
                  <c:v>42767</c:v>
                </c:pt>
                <c:pt idx="2">
                  <c:v>42795</c:v>
                </c:pt>
                <c:pt idx="3">
                  <c:v>42826</c:v>
                </c:pt>
                <c:pt idx="4">
                  <c:v>42856</c:v>
                </c:pt>
                <c:pt idx="5">
                  <c:v>42887</c:v>
                </c:pt>
                <c:pt idx="6">
                  <c:v>42917</c:v>
                </c:pt>
                <c:pt idx="7">
                  <c:v>42948</c:v>
                </c:pt>
                <c:pt idx="8">
                  <c:v>42979</c:v>
                </c:pt>
                <c:pt idx="9">
                  <c:v>43009</c:v>
                </c:pt>
                <c:pt idx="10">
                  <c:v>43040</c:v>
                </c:pt>
                <c:pt idx="11">
                  <c:v>43070</c:v>
                </c:pt>
                <c:pt idx="12">
                  <c:v>43101</c:v>
                </c:pt>
                <c:pt idx="13">
                  <c:v>43132</c:v>
                </c:pt>
                <c:pt idx="14">
                  <c:v>43160</c:v>
                </c:pt>
                <c:pt idx="15">
                  <c:v>43191</c:v>
                </c:pt>
                <c:pt idx="16">
                  <c:v>43221</c:v>
                </c:pt>
                <c:pt idx="17">
                  <c:v>43252</c:v>
                </c:pt>
                <c:pt idx="18">
                  <c:v>43282</c:v>
                </c:pt>
                <c:pt idx="19">
                  <c:v>43313</c:v>
                </c:pt>
                <c:pt idx="20">
                  <c:v>43344</c:v>
                </c:pt>
                <c:pt idx="21">
                  <c:v>43374</c:v>
                </c:pt>
                <c:pt idx="22">
                  <c:v>43405</c:v>
                </c:pt>
                <c:pt idx="23">
                  <c:v>43435</c:v>
                </c:pt>
                <c:pt idx="24">
                  <c:v>43466</c:v>
                </c:pt>
                <c:pt idx="25">
                  <c:v>43497</c:v>
                </c:pt>
                <c:pt idx="26">
                  <c:v>43525</c:v>
                </c:pt>
                <c:pt idx="27">
                  <c:v>43556</c:v>
                </c:pt>
                <c:pt idx="28">
                  <c:v>43586</c:v>
                </c:pt>
              </c:numCache>
            </c:numRef>
          </c:cat>
          <c:val>
            <c:numRef>
              <c:f>Planilha1!$C$2:$C$30</c:f>
              <c:numCache>
                <c:formatCode>General</c:formatCode>
                <c:ptCount val="29"/>
                <c:pt idx="0">
                  <c:v>133.59</c:v>
                </c:pt>
                <c:pt idx="1">
                  <c:v>136.16</c:v>
                </c:pt>
                <c:pt idx="2">
                  <c:v>135.75</c:v>
                </c:pt>
                <c:pt idx="3">
                  <c:v>135.74</c:v>
                </c:pt>
                <c:pt idx="4">
                  <c:v>134.86000000000001</c:v>
                </c:pt>
                <c:pt idx="5">
                  <c:v>136.02000000000001</c:v>
                </c:pt>
                <c:pt idx="6">
                  <c:v>136.36000000000001</c:v>
                </c:pt>
                <c:pt idx="7">
                  <c:v>135.4</c:v>
                </c:pt>
                <c:pt idx="8">
                  <c:v>135.71</c:v>
                </c:pt>
                <c:pt idx="9">
                  <c:v>135.94999999999999</c:v>
                </c:pt>
                <c:pt idx="10">
                  <c:v>136.06</c:v>
                </c:pt>
                <c:pt idx="11">
                  <c:v>137.51</c:v>
                </c:pt>
                <c:pt idx="12">
                  <c:v>136.91</c:v>
                </c:pt>
                <c:pt idx="13">
                  <c:v>137.06</c:v>
                </c:pt>
                <c:pt idx="14">
                  <c:v>136.65</c:v>
                </c:pt>
                <c:pt idx="15">
                  <c:v>137.83000000000001</c:v>
                </c:pt>
                <c:pt idx="16">
                  <c:v>132.93</c:v>
                </c:pt>
                <c:pt idx="17">
                  <c:v>137.51</c:v>
                </c:pt>
                <c:pt idx="18">
                  <c:v>137.91</c:v>
                </c:pt>
                <c:pt idx="19">
                  <c:v>138.43</c:v>
                </c:pt>
                <c:pt idx="20">
                  <c:v>138.15</c:v>
                </c:pt>
                <c:pt idx="21">
                  <c:v>138.01</c:v>
                </c:pt>
                <c:pt idx="22">
                  <c:v>138.34</c:v>
                </c:pt>
                <c:pt idx="23">
                  <c:v>138.55000000000001</c:v>
                </c:pt>
                <c:pt idx="24">
                  <c:v>138.47</c:v>
                </c:pt>
                <c:pt idx="25">
                  <c:v>137.11000000000001</c:v>
                </c:pt>
                <c:pt idx="26">
                  <c:v>136.72</c:v>
                </c:pt>
                <c:pt idx="27">
                  <c:v>136.28</c:v>
                </c:pt>
                <c:pt idx="28">
                  <c:v>137.01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E7-439F-A464-6520C80710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4615983"/>
        <c:axId val="80554879"/>
      </c:lineChart>
      <c:dateAx>
        <c:axId val="84615983"/>
        <c:scaling>
          <c:orientation val="minMax"/>
          <c:max val="43586"/>
          <c:min val="42856"/>
        </c:scaling>
        <c:delete val="0"/>
        <c:axPos val="b"/>
        <c:numFmt formatCode="[$-416]mmm\-yy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pt-BR"/>
          </a:p>
        </c:txPr>
        <c:crossAx val="80554879"/>
        <c:crosses val="autoZero"/>
        <c:auto val="1"/>
        <c:lblOffset val="100"/>
        <c:baseTimeUnit val="months"/>
      </c:dateAx>
      <c:valAx>
        <c:axId val="80554879"/>
        <c:scaling>
          <c:orientation val="minMax"/>
          <c:max val="150"/>
          <c:min val="1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pt-BR"/>
          </a:p>
        </c:txPr>
        <c:crossAx val="84615983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Century Gothic" panose="020B0502020202020204" pitchFamily="34" charset="0"/>
        </a:defRPr>
      </a:pPr>
      <a:endParaRPr lang="pt-B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713A-624F-41D7-A3D0-BB162CEF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Custodio;EDILENE CAVALCANTI DOS ANJOS</dc:creator>
  <cp:keywords/>
  <dc:description/>
  <cp:lastModifiedBy>CAROLINA FERNANDES CUSTODIO</cp:lastModifiedBy>
  <cp:revision>4</cp:revision>
  <cp:lastPrinted>2019-05-16T18:50:00Z</cp:lastPrinted>
  <dcterms:created xsi:type="dcterms:W3CDTF">2019-06-14T19:02:00Z</dcterms:created>
  <dcterms:modified xsi:type="dcterms:W3CDTF">2019-07-15T20:27:00Z</dcterms:modified>
</cp:coreProperties>
</file>